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FC608">
      <w:pPr>
        <w:jc w:val="center"/>
        <w:rPr>
          <w:rFonts w:hint="eastAsia" w:ascii="仿宋" w:hAnsi="仿宋" w:cs="仿宋"/>
          <w:b/>
          <w:sz w:val="44"/>
          <w:szCs w:val="44"/>
        </w:rPr>
      </w:pPr>
    </w:p>
    <w:p w14:paraId="24A311A4">
      <w:pPr>
        <w:jc w:val="center"/>
        <w:rPr>
          <w:rFonts w:hint="eastAsia" w:ascii="仿宋" w:hAnsi="仿宋" w:cs="仿宋"/>
          <w:b/>
          <w:sz w:val="44"/>
          <w:szCs w:val="44"/>
        </w:rPr>
      </w:pPr>
    </w:p>
    <w:p w14:paraId="65BF6954">
      <w:pPr>
        <w:jc w:val="center"/>
        <w:rPr>
          <w:rFonts w:hint="eastAsia" w:ascii="仿宋" w:hAnsi="仿宋" w:cs="仿宋"/>
          <w:b/>
          <w:sz w:val="44"/>
          <w:szCs w:val="44"/>
        </w:rPr>
      </w:pPr>
    </w:p>
    <w:p w14:paraId="34035036">
      <w:pPr>
        <w:jc w:val="center"/>
        <w:rPr>
          <w:rFonts w:hint="eastAsia" w:ascii="仿宋" w:hAnsi="仿宋" w:cs="仿宋"/>
          <w:b/>
          <w:sz w:val="44"/>
          <w:szCs w:val="44"/>
        </w:rPr>
      </w:pPr>
      <w:r>
        <w:rPr>
          <w:rFonts w:hint="eastAsia" w:ascii="仿宋" w:hAnsi="仿宋" w:cs="仿宋"/>
          <w:b/>
          <w:sz w:val="44"/>
          <w:szCs w:val="44"/>
        </w:rPr>
        <w:t>铁马江苏区域定制化传输服务项目</w:t>
      </w:r>
    </w:p>
    <w:p w14:paraId="0440CDEE">
      <w:pPr>
        <w:jc w:val="center"/>
        <w:rPr>
          <w:rFonts w:hint="eastAsia" w:ascii="仿宋" w:hAnsi="仿宋" w:cs="仿宋"/>
          <w:b/>
          <w:sz w:val="44"/>
          <w:szCs w:val="44"/>
        </w:rPr>
      </w:pPr>
      <w:r>
        <w:rPr>
          <w:rFonts w:hint="eastAsia" w:ascii="仿宋" w:hAnsi="仿宋" w:cs="仿宋"/>
          <w:b/>
          <w:sz w:val="44"/>
          <w:szCs w:val="44"/>
        </w:rPr>
        <w:t>招标文件</w:t>
      </w:r>
    </w:p>
    <w:p w14:paraId="78E23D8B">
      <w:pPr>
        <w:jc w:val="center"/>
        <w:rPr>
          <w:rFonts w:hint="eastAsia" w:ascii="仿宋" w:hAnsi="仿宋" w:cs="仿宋"/>
          <w:b/>
          <w:sz w:val="44"/>
          <w:szCs w:val="44"/>
        </w:rPr>
      </w:pPr>
    </w:p>
    <w:p w14:paraId="2424F001">
      <w:pPr>
        <w:jc w:val="center"/>
        <w:rPr>
          <w:rFonts w:hint="eastAsia" w:ascii="仿宋" w:hAnsi="仿宋" w:cs="仿宋"/>
          <w:b/>
          <w:sz w:val="44"/>
          <w:szCs w:val="44"/>
        </w:rPr>
      </w:pPr>
    </w:p>
    <w:p w14:paraId="6B237781">
      <w:pPr>
        <w:jc w:val="center"/>
        <w:rPr>
          <w:rFonts w:hint="eastAsia" w:ascii="仿宋" w:hAnsi="仿宋" w:cs="仿宋"/>
          <w:b/>
          <w:sz w:val="44"/>
          <w:szCs w:val="44"/>
        </w:rPr>
      </w:pPr>
    </w:p>
    <w:p w14:paraId="034F0EA2">
      <w:pPr>
        <w:jc w:val="center"/>
        <w:rPr>
          <w:rFonts w:hint="eastAsia" w:ascii="仿宋" w:hAnsi="仿宋" w:cs="仿宋"/>
          <w:b/>
          <w:sz w:val="44"/>
          <w:szCs w:val="44"/>
        </w:rPr>
      </w:pPr>
    </w:p>
    <w:p w14:paraId="1FC7B0E5">
      <w:pPr>
        <w:jc w:val="center"/>
        <w:rPr>
          <w:rFonts w:hint="eastAsia" w:ascii="仿宋" w:hAnsi="仿宋" w:cs="仿宋"/>
          <w:bCs/>
          <w:sz w:val="28"/>
          <w:szCs w:val="28"/>
        </w:rPr>
      </w:pPr>
      <w:r>
        <w:rPr>
          <w:rFonts w:hint="eastAsia" w:ascii="仿宋" w:hAnsi="仿宋" w:cs="仿宋"/>
          <w:bCs/>
          <w:sz w:val="28"/>
          <w:szCs w:val="28"/>
        </w:rPr>
        <w:t>采购单位：南京铁马信息技术有限公司</w:t>
      </w:r>
    </w:p>
    <w:p w14:paraId="35ABE549">
      <w:pPr>
        <w:jc w:val="center"/>
        <w:rPr>
          <w:rFonts w:hint="eastAsia" w:ascii="仿宋" w:hAnsi="仿宋" w:cs="仿宋"/>
          <w:bCs/>
          <w:sz w:val="28"/>
          <w:szCs w:val="28"/>
        </w:rPr>
      </w:pPr>
      <w:r>
        <w:rPr>
          <w:rFonts w:hint="eastAsia" w:ascii="仿宋" w:hAnsi="仿宋" w:cs="仿宋"/>
          <w:bCs/>
          <w:sz w:val="28"/>
          <w:szCs w:val="28"/>
        </w:rPr>
        <w:t>采购项目：铁马江苏区域定制化传输服务项目</w:t>
      </w:r>
    </w:p>
    <w:p w14:paraId="41556182">
      <w:pPr>
        <w:jc w:val="center"/>
        <w:rPr>
          <w:rFonts w:hint="eastAsia" w:ascii="仿宋" w:hAnsi="仿宋" w:cs="仿宋"/>
          <w:bCs/>
          <w:sz w:val="28"/>
          <w:szCs w:val="28"/>
        </w:rPr>
      </w:pPr>
    </w:p>
    <w:p w14:paraId="3DE7F05F">
      <w:pPr>
        <w:jc w:val="center"/>
        <w:rPr>
          <w:rFonts w:hint="eastAsia" w:ascii="仿宋" w:hAnsi="仿宋" w:cs="仿宋"/>
          <w:bCs/>
          <w:sz w:val="28"/>
          <w:szCs w:val="28"/>
        </w:rPr>
      </w:pPr>
    </w:p>
    <w:p w14:paraId="0662B5B5">
      <w:pPr>
        <w:jc w:val="center"/>
        <w:rPr>
          <w:rFonts w:hint="eastAsia" w:ascii="仿宋" w:hAnsi="仿宋" w:cs="仿宋"/>
          <w:bCs/>
          <w:sz w:val="28"/>
          <w:szCs w:val="28"/>
        </w:rPr>
      </w:pPr>
    </w:p>
    <w:p w14:paraId="6F25C213">
      <w:pPr>
        <w:jc w:val="center"/>
        <w:rPr>
          <w:rFonts w:hint="eastAsia" w:ascii="仿宋" w:hAnsi="仿宋" w:cs="仿宋"/>
          <w:bCs/>
          <w:sz w:val="28"/>
          <w:szCs w:val="28"/>
        </w:rPr>
      </w:pPr>
    </w:p>
    <w:p w14:paraId="6A99D838">
      <w:pPr>
        <w:jc w:val="center"/>
        <w:rPr>
          <w:rFonts w:hint="eastAsia" w:ascii="仿宋" w:hAnsi="仿宋" w:cs="仿宋"/>
          <w:bCs/>
          <w:sz w:val="28"/>
          <w:szCs w:val="28"/>
        </w:rPr>
      </w:pPr>
      <w:r>
        <w:rPr>
          <w:rFonts w:hint="eastAsia" w:ascii="仿宋" w:hAnsi="仿宋" w:cs="仿宋"/>
          <w:bCs/>
          <w:sz w:val="28"/>
          <w:szCs w:val="28"/>
        </w:rPr>
        <w:t>苏州新一造价师价格事务所有限公司</w:t>
      </w:r>
    </w:p>
    <w:p w14:paraId="72E658C7">
      <w:pPr>
        <w:jc w:val="center"/>
        <w:rPr>
          <w:rFonts w:hint="default" w:ascii="仿宋" w:hAnsi="仿宋" w:eastAsia="宋体" w:cs="仿宋"/>
          <w:bCs/>
          <w:sz w:val="28"/>
          <w:szCs w:val="28"/>
          <w:lang w:val="en-US" w:eastAsia="zh-CN"/>
        </w:rPr>
      </w:pPr>
      <w:r>
        <w:rPr>
          <w:rFonts w:hint="eastAsia" w:ascii="仿宋" w:hAnsi="仿宋" w:cs="仿宋"/>
          <w:bCs/>
          <w:sz w:val="28"/>
          <w:szCs w:val="28"/>
        </w:rPr>
        <w:t>日期：</w:t>
      </w:r>
      <w:r>
        <w:rPr>
          <w:rFonts w:hint="eastAsia" w:ascii="仿宋" w:hAnsi="仿宋" w:cs="仿宋"/>
          <w:bCs/>
          <w:sz w:val="28"/>
          <w:szCs w:val="28"/>
          <w:lang w:val="en-US" w:eastAsia="zh-CN"/>
        </w:rPr>
        <w:t>2025.10.14</w:t>
      </w:r>
    </w:p>
    <w:p w14:paraId="69AED100"/>
    <w:p w14:paraId="33DBB272"/>
    <w:p w14:paraId="7EDDB6B5"/>
    <w:p w14:paraId="4F9E8010"/>
    <w:p w14:paraId="397DA8B8">
      <w:pPr>
        <w:pStyle w:val="2"/>
      </w:pPr>
      <w:r>
        <w:rPr>
          <w:rFonts w:hint="eastAsia"/>
        </w:rPr>
        <w:t>招标公告</w:t>
      </w:r>
    </w:p>
    <w:p w14:paraId="5608D21A">
      <w:pPr>
        <w:pStyle w:val="3"/>
      </w:pPr>
      <w:r>
        <w:rPr>
          <w:rFonts w:hint="eastAsia"/>
        </w:rPr>
        <w:t>项目基本情况</w:t>
      </w:r>
    </w:p>
    <w:p w14:paraId="69B3A8DF">
      <w:pPr>
        <w:pStyle w:val="4"/>
        <w:ind w:firstLine="480"/>
      </w:pPr>
      <w:r>
        <w:rPr>
          <w:rFonts w:hint="eastAsia"/>
          <w:lang w:val="en-US" w:eastAsia="zh-CN"/>
        </w:rPr>
        <w:t>1</w:t>
      </w:r>
      <w:r>
        <w:rPr>
          <w:rFonts w:hint="eastAsia"/>
        </w:rPr>
        <w:t>、项目名称：铁马江苏区域定制化传输服务项目</w:t>
      </w:r>
    </w:p>
    <w:p w14:paraId="48EF6F23">
      <w:pPr>
        <w:pStyle w:val="4"/>
        <w:ind w:firstLine="480"/>
        <w:rPr>
          <w:highlight w:val="none"/>
        </w:rPr>
      </w:pPr>
      <w:r>
        <w:rPr>
          <w:rFonts w:hint="eastAsia"/>
          <w:lang w:val="en-US" w:eastAsia="zh-CN"/>
        </w:rPr>
        <w:t>2</w:t>
      </w:r>
      <w:r>
        <w:rPr>
          <w:rFonts w:hint="eastAsia"/>
        </w:rPr>
        <w:t>、采购预算</w:t>
      </w:r>
      <w:r>
        <w:rPr>
          <w:rFonts w:hint="eastAsia"/>
          <w:highlight w:val="none"/>
        </w:rPr>
        <w:t>：人民币</w:t>
      </w:r>
      <w:r>
        <w:rPr>
          <w:rFonts w:hint="eastAsia"/>
          <w:highlight w:val="none"/>
          <w:lang w:val="en-US" w:eastAsia="zh-CN"/>
        </w:rPr>
        <w:t>3400万元</w:t>
      </w:r>
      <w:r>
        <w:rPr>
          <w:rFonts w:hint="eastAsia"/>
          <w:highlight w:val="none"/>
        </w:rPr>
        <w:t>（￥</w:t>
      </w:r>
      <w:r>
        <w:rPr>
          <w:rFonts w:hint="eastAsia"/>
          <w:highlight w:val="none"/>
          <w:lang w:val="en-US" w:eastAsia="zh-CN"/>
        </w:rPr>
        <w:t>34000000</w:t>
      </w:r>
      <w:r>
        <w:rPr>
          <w:rFonts w:hint="eastAsia"/>
          <w:highlight w:val="none"/>
        </w:rPr>
        <w:t>）</w:t>
      </w:r>
    </w:p>
    <w:p w14:paraId="4CEFDE2C">
      <w:pPr>
        <w:pStyle w:val="4"/>
        <w:ind w:firstLine="480"/>
        <w:rPr>
          <w:highlight w:val="none"/>
        </w:rPr>
      </w:pPr>
      <w:r>
        <w:rPr>
          <w:rFonts w:hint="eastAsia"/>
          <w:highlight w:val="none"/>
        </w:rPr>
        <w:t>最高限价：人民币</w:t>
      </w:r>
      <w:r>
        <w:rPr>
          <w:rFonts w:hint="eastAsia"/>
          <w:highlight w:val="none"/>
          <w:lang w:val="en-US" w:eastAsia="zh-CN"/>
        </w:rPr>
        <w:t>3400万元</w:t>
      </w:r>
      <w:r>
        <w:rPr>
          <w:rFonts w:hint="eastAsia"/>
          <w:highlight w:val="none"/>
        </w:rPr>
        <w:t>（￥</w:t>
      </w:r>
      <w:r>
        <w:rPr>
          <w:rFonts w:hint="eastAsia"/>
          <w:highlight w:val="none"/>
          <w:lang w:val="en-US" w:eastAsia="zh-CN"/>
        </w:rPr>
        <w:t>34000000</w:t>
      </w:r>
      <w:r>
        <w:rPr>
          <w:rFonts w:hint="eastAsia"/>
          <w:highlight w:val="none"/>
        </w:rPr>
        <w:t>）</w:t>
      </w:r>
    </w:p>
    <w:p w14:paraId="2E8E0D9D">
      <w:pPr>
        <w:pStyle w:val="4"/>
        <w:ind w:firstLine="480"/>
      </w:pPr>
      <w:r>
        <w:rPr>
          <w:rFonts w:hint="eastAsia"/>
          <w:lang w:val="en-US" w:eastAsia="zh-CN"/>
        </w:rPr>
        <w:t>3</w:t>
      </w:r>
      <w:r>
        <w:rPr>
          <w:rFonts w:hint="eastAsia"/>
        </w:rPr>
        <w:t>、工期：3个月。</w:t>
      </w:r>
    </w:p>
    <w:p w14:paraId="666E47A8">
      <w:pPr>
        <w:pStyle w:val="4"/>
        <w:ind w:firstLine="480"/>
      </w:pPr>
      <w:r>
        <w:rPr>
          <w:rFonts w:hint="eastAsia"/>
          <w:lang w:val="en-US" w:eastAsia="zh-CN"/>
        </w:rPr>
        <w:t>4</w:t>
      </w:r>
      <w:r>
        <w:rPr>
          <w:rFonts w:hint="eastAsia"/>
        </w:rPr>
        <w:t>、采购项目清单及要求：张家港乐余--仪征经开之间建设2条大芯数互联定制化电路，具体要求见技术条款。</w:t>
      </w:r>
    </w:p>
    <w:p w14:paraId="3E547795">
      <w:pPr>
        <w:pStyle w:val="4"/>
        <w:ind w:firstLine="480"/>
      </w:pPr>
      <w:r>
        <w:rPr>
          <w:rFonts w:hint="eastAsia"/>
          <w:lang w:val="en-US" w:eastAsia="zh-CN"/>
        </w:rPr>
        <w:t>5</w:t>
      </w:r>
      <w:r>
        <w:rPr>
          <w:rFonts w:hint="eastAsia"/>
        </w:rPr>
        <w:t>、质量要求：合格</w:t>
      </w:r>
    </w:p>
    <w:p w14:paraId="611C2888">
      <w:pPr>
        <w:pStyle w:val="4"/>
        <w:ind w:firstLine="480"/>
      </w:pPr>
      <w:r>
        <w:rPr>
          <w:rFonts w:hint="eastAsia"/>
          <w:lang w:val="en-US" w:eastAsia="zh-CN"/>
        </w:rPr>
        <w:t>6</w:t>
      </w:r>
      <w:r>
        <w:rPr>
          <w:rFonts w:hint="eastAsia"/>
        </w:rPr>
        <w:t>、项目承包方式：包工包料</w:t>
      </w:r>
    </w:p>
    <w:p w14:paraId="2DFF2C4D">
      <w:pPr>
        <w:pStyle w:val="3"/>
      </w:pPr>
      <w:r>
        <w:rPr>
          <w:rFonts w:hint="eastAsia"/>
        </w:rPr>
        <w:t>申请人的资格要求：</w:t>
      </w:r>
    </w:p>
    <w:p w14:paraId="345DBCC7">
      <w:pPr>
        <w:pStyle w:val="4"/>
        <w:ind w:firstLine="480"/>
      </w:pPr>
      <w:r>
        <w:rPr>
          <w:rFonts w:hint="eastAsia"/>
        </w:rPr>
        <w:t>1、一般资格要求：</w:t>
      </w:r>
    </w:p>
    <w:p w14:paraId="7FBFC9BE">
      <w:pPr>
        <w:pStyle w:val="4"/>
        <w:ind w:firstLine="480"/>
      </w:pPr>
      <w:r>
        <w:rPr>
          <w:rFonts w:hint="eastAsia"/>
        </w:rPr>
        <w:t>（1）具有独立承担民事责任的能力；</w:t>
      </w:r>
    </w:p>
    <w:p w14:paraId="7DE16E63">
      <w:pPr>
        <w:pStyle w:val="4"/>
        <w:ind w:firstLine="480"/>
      </w:pPr>
      <w:r>
        <w:rPr>
          <w:rFonts w:hint="eastAsia"/>
        </w:rPr>
        <w:t>（2）具有良好的商业信誉和健全的财务会计制度；</w:t>
      </w:r>
    </w:p>
    <w:p w14:paraId="648C9F69">
      <w:pPr>
        <w:pStyle w:val="4"/>
        <w:ind w:firstLine="480"/>
      </w:pPr>
      <w:r>
        <w:rPr>
          <w:rFonts w:hint="eastAsia"/>
        </w:rPr>
        <w:t>（3）具有履行合同所必需的设备和专业技术能力；</w:t>
      </w:r>
    </w:p>
    <w:p w14:paraId="002E0E42">
      <w:pPr>
        <w:pStyle w:val="4"/>
        <w:ind w:firstLine="480"/>
      </w:pPr>
      <w:r>
        <w:rPr>
          <w:rFonts w:hint="eastAsia"/>
        </w:rPr>
        <w:t>（4）有依法缴纳税收和社会保障资金的良好记录；</w:t>
      </w:r>
    </w:p>
    <w:p w14:paraId="0BF8A4F2">
      <w:pPr>
        <w:pStyle w:val="4"/>
        <w:ind w:firstLine="480"/>
      </w:pPr>
      <w:r>
        <w:rPr>
          <w:rFonts w:hint="eastAsia"/>
        </w:rPr>
        <w:t>（5）参加采购活动前三年内，在经营活动中没有重大违法记录；</w:t>
      </w:r>
    </w:p>
    <w:p w14:paraId="48BC53FF">
      <w:pPr>
        <w:pStyle w:val="4"/>
        <w:ind w:firstLine="480"/>
      </w:pPr>
      <w:r>
        <w:rPr>
          <w:rFonts w:hint="eastAsia"/>
        </w:rPr>
        <w:t>（6）法律、行政法规规定的其他条件。</w:t>
      </w:r>
    </w:p>
    <w:p w14:paraId="2C390505">
      <w:pPr>
        <w:pStyle w:val="4"/>
        <w:ind w:firstLine="480"/>
      </w:pPr>
      <w:r>
        <w:rPr>
          <w:rFonts w:hint="eastAsia"/>
        </w:rPr>
        <w:t>2、本项目的特定资格要求：</w:t>
      </w:r>
    </w:p>
    <w:p w14:paraId="725BA9D5">
      <w:pPr>
        <w:pStyle w:val="4"/>
        <w:ind w:firstLine="480"/>
      </w:pPr>
      <w:r>
        <w:rPr>
          <w:rFonts w:hint="eastAsia"/>
        </w:rPr>
        <w:t>（1）供应商具备安全生产条件：取得安全生产许可证；</w:t>
      </w:r>
    </w:p>
    <w:p w14:paraId="721BA932">
      <w:pPr>
        <w:pStyle w:val="4"/>
        <w:ind w:firstLine="480"/>
      </w:pPr>
      <w:r>
        <w:rPr>
          <w:rFonts w:hint="eastAsia"/>
        </w:rPr>
        <w:t>（2）本项目不接受联合体投标。</w:t>
      </w:r>
    </w:p>
    <w:p w14:paraId="0469C531">
      <w:pPr>
        <w:pStyle w:val="4"/>
        <w:ind w:firstLine="480"/>
      </w:pPr>
      <w:r>
        <w:rPr>
          <w:rFonts w:hint="eastAsia"/>
        </w:rPr>
        <w:t>注：</w:t>
      </w:r>
    </w:p>
    <w:p w14:paraId="618D3500">
      <w:pPr>
        <w:pStyle w:val="4"/>
        <w:ind w:firstLine="480"/>
      </w:pPr>
      <w:r>
        <w:rPr>
          <w:rFonts w:hint="eastAsia"/>
        </w:rPr>
        <w:t>（1）未被“信用中国”网站或“中国政府采购网”网站列入失信被执行人、重大税收违法案件当事人名单、采购严重失信行为记录名单；</w:t>
      </w:r>
    </w:p>
    <w:p w14:paraId="39377A1D">
      <w:pPr>
        <w:pStyle w:val="4"/>
        <w:ind w:firstLine="480"/>
      </w:pPr>
      <w:r>
        <w:rPr>
          <w:rFonts w:hint="eastAsia"/>
        </w:rPr>
        <w:t>（2）单位负责人为同一人或者存在直接控股、管理关系的不同供应商（包含法定代表人为同一个人的两个及两个以上法人，母公司、全资子公司及其控股公司），不得参加同一合同项下的采购活动。</w:t>
      </w:r>
    </w:p>
    <w:p w14:paraId="2E4347D5">
      <w:pPr>
        <w:pStyle w:val="3"/>
      </w:pPr>
      <w:r>
        <w:rPr>
          <w:rFonts w:hint="eastAsia"/>
        </w:rPr>
        <w:t>报名及采购文件的获取</w:t>
      </w:r>
    </w:p>
    <w:p w14:paraId="69F98263">
      <w:pPr>
        <w:pStyle w:val="4"/>
        <w:ind w:firstLine="480"/>
      </w:pPr>
      <w:r>
        <w:rPr>
          <w:rFonts w:hint="eastAsia"/>
        </w:rPr>
        <w:t>1、报名时间：自招标公告发布之日起至2025年</w:t>
      </w:r>
      <w:r>
        <w:rPr>
          <w:rFonts w:hint="eastAsia"/>
          <w:lang w:val="en-US" w:eastAsia="zh-CN"/>
        </w:rPr>
        <w:t>10</w:t>
      </w:r>
      <w:r>
        <w:rPr>
          <w:rFonts w:hint="eastAsia"/>
        </w:rPr>
        <w:t>月</w:t>
      </w:r>
      <w:r>
        <w:rPr>
          <w:rFonts w:hint="eastAsia"/>
          <w:lang w:val="en-US" w:eastAsia="zh-CN"/>
        </w:rPr>
        <w:t>14</w:t>
      </w:r>
      <w:r>
        <w:rPr>
          <w:rFonts w:hint="eastAsia"/>
        </w:rPr>
        <w:t>日。</w:t>
      </w:r>
    </w:p>
    <w:p w14:paraId="1A7DDB93">
      <w:pPr>
        <w:pStyle w:val="4"/>
        <w:ind w:firstLine="480"/>
      </w:pPr>
      <w:r>
        <w:rPr>
          <w:rFonts w:hint="eastAsia"/>
        </w:rPr>
        <w:t>2、报名方式：</w:t>
      </w:r>
      <w:r>
        <w:rPr>
          <w:rFonts w:hint="eastAsia"/>
          <w:lang w:val="en-US" w:eastAsia="zh-CN"/>
        </w:rPr>
        <w:t>邮件</w:t>
      </w:r>
      <w:r>
        <w:rPr>
          <w:rFonts w:hint="eastAsia"/>
        </w:rPr>
        <w:t>；</w:t>
      </w:r>
    </w:p>
    <w:p w14:paraId="02F81338">
      <w:pPr>
        <w:pStyle w:val="3"/>
      </w:pPr>
      <w:r>
        <w:rPr>
          <w:rFonts w:hint="eastAsia"/>
        </w:rPr>
        <w:t>投标文件提交</w:t>
      </w:r>
    </w:p>
    <w:p w14:paraId="61D24EF8">
      <w:pPr>
        <w:pStyle w:val="4"/>
        <w:ind w:firstLine="480"/>
      </w:pPr>
      <w:r>
        <w:rPr>
          <w:rFonts w:hint="eastAsia"/>
        </w:rPr>
        <w:t>截止时间：2025年</w:t>
      </w:r>
      <w:r>
        <w:rPr>
          <w:rFonts w:hint="eastAsia"/>
          <w:lang w:val="en-US" w:eastAsia="zh-CN"/>
        </w:rPr>
        <w:t>10</w:t>
      </w:r>
      <w:r>
        <w:rPr>
          <w:rFonts w:hint="eastAsia"/>
        </w:rPr>
        <w:t>月</w:t>
      </w:r>
      <w:r>
        <w:rPr>
          <w:rFonts w:hint="eastAsia"/>
          <w:lang w:val="en-US" w:eastAsia="zh-CN"/>
        </w:rPr>
        <w:t>24</w:t>
      </w:r>
      <w:r>
        <w:rPr>
          <w:rFonts w:hint="eastAsia"/>
        </w:rPr>
        <w:t>日</w:t>
      </w:r>
      <w:r>
        <w:rPr>
          <w:rFonts w:hint="eastAsia"/>
          <w:lang w:val="en-US" w:eastAsia="zh-CN"/>
        </w:rPr>
        <w:t>9:00</w:t>
      </w:r>
      <w:r>
        <w:rPr>
          <w:rFonts w:hint="eastAsia"/>
        </w:rPr>
        <w:t>（北京时间）</w:t>
      </w:r>
    </w:p>
    <w:p w14:paraId="3905FE46">
      <w:pPr>
        <w:pStyle w:val="4"/>
        <w:ind w:firstLine="480"/>
      </w:pPr>
      <w:r>
        <w:rPr>
          <w:rFonts w:hint="eastAsia"/>
        </w:rPr>
        <w:t>开标时间：2025年</w:t>
      </w:r>
      <w:r>
        <w:rPr>
          <w:rFonts w:hint="eastAsia"/>
          <w:lang w:val="en-US" w:eastAsia="zh-CN"/>
        </w:rPr>
        <w:t>10</w:t>
      </w:r>
      <w:r>
        <w:rPr>
          <w:rFonts w:hint="eastAsia"/>
        </w:rPr>
        <w:t>月</w:t>
      </w:r>
      <w:r>
        <w:rPr>
          <w:rFonts w:hint="eastAsia"/>
          <w:lang w:val="en-US" w:eastAsia="zh-CN"/>
        </w:rPr>
        <w:t>24</w:t>
      </w:r>
      <w:r>
        <w:rPr>
          <w:rFonts w:hint="eastAsia"/>
        </w:rPr>
        <w:t>日</w:t>
      </w:r>
      <w:r>
        <w:rPr>
          <w:rFonts w:hint="eastAsia"/>
          <w:lang w:val="en-US" w:eastAsia="zh-CN"/>
        </w:rPr>
        <w:t>9:00</w:t>
      </w:r>
      <w:r>
        <w:rPr>
          <w:rFonts w:hint="eastAsia"/>
        </w:rPr>
        <w:t>（北京时间）</w:t>
      </w:r>
    </w:p>
    <w:p w14:paraId="77654874">
      <w:pPr>
        <w:pStyle w:val="3"/>
      </w:pPr>
      <w:r>
        <w:rPr>
          <w:rFonts w:hint="eastAsia"/>
        </w:rPr>
        <w:t>公告期限</w:t>
      </w:r>
    </w:p>
    <w:p w14:paraId="66547EF8">
      <w:pPr>
        <w:pStyle w:val="4"/>
        <w:ind w:firstLine="480"/>
      </w:pPr>
      <w:r>
        <w:rPr>
          <w:rFonts w:hint="eastAsia"/>
        </w:rPr>
        <w:t>自本公告发布之日起5个工作日。</w:t>
      </w:r>
    </w:p>
    <w:p w14:paraId="44EC0875">
      <w:pPr>
        <w:pStyle w:val="3"/>
      </w:pPr>
      <w:r>
        <w:rPr>
          <w:rFonts w:hint="eastAsia"/>
        </w:rPr>
        <w:t>凡对本次采购提出询问，请按以下方式联系。</w:t>
      </w:r>
    </w:p>
    <w:p w14:paraId="1AEBFD2D">
      <w:pPr>
        <w:pStyle w:val="4"/>
        <w:ind w:firstLine="480"/>
      </w:pPr>
      <w:r>
        <w:rPr>
          <w:rFonts w:hint="eastAsia"/>
        </w:rPr>
        <w:t>1.采购人信息</w:t>
      </w:r>
    </w:p>
    <w:p w14:paraId="67BD1336">
      <w:pPr>
        <w:pStyle w:val="4"/>
        <w:ind w:firstLine="480"/>
      </w:pPr>
      <w:r>
        <w:rPr>
          <w:rFonts w:hint="eastAsia"/>
        </w:rPr>
        <w:t>名称：南京铁马信息技术有限公司</w:t>
      </w:r>
    </w:p>
    <w:p w14:paraId="43334821">
      <w:pPr>
        <w:pStyle w:val="4"/>
        <w:ind w:firstLine="480"/>
      </w:pPr>
      <w:r>
        <w:rPr>
          <w:rFonts w:hint="eastAsia"/>
        </w:rPr>
        <w:t>地址：南京市鼓楼区清江南路18号鼓楼创新广场H2栋6层</w:t>
      </w:r>
    </w:p>
    <w:p w14:paraId="713A97CB">
      <w:pPr>
        <w:pStyle w:val="4"/>
        <w:ind w:firstLine="480"/>
      </w:pPr>
      <w:r>
        <w:rPr>
          <w:rFonts w:hint="eastAsia"/>
        </w:rPr>
        <w:t>2.代理机构信息</w:t>
      </w:r>
    </w:p>
    <w:p w14:paraId="1C734E8A">
      <w:pPr>
        <w:pStyle w:val="4"/>
        <w:ind w:firstLine="480"/>
      </w:pPr>
      <w:r>
        <w:rPr>
          <w:rFonts w:hint="eastAsia"/>
        </w:rPr>
        <w:t>名称：苏州新一造价师价格事务所有限公司</w:t>
      </w:r>
    </w:p>
    <w:p w14:paraId="7EC4E446">
      <w:pPr>
        <w:pStyle w:val="4"/>
        <w:ind w:firstLine="480"/>
        <w:rPr>
          <w:rFonts w:hint="eastAsia"/>
        </w:rPr>
      </w:pPr>
      <w:r>
        <w:rPr>
          <w:rFonts w:hint="eastAsia"/>
        </w:rPr>
        <w:t>地址：苏州高新区狮山路76号307室</w:t>
      </w:r>
    </w:p>
    <w:p w14:paraId="472DA224">
      <w:pPr>
        <w:pStyle w:val="4"/>
        <w:ind w:firstLine="480"/>
      </w:pPr>
      <w:r>
        <w:rPr>
          <w:rFonts w:hint="eastAsia"/>
        </w:rPr>
        <w:t xml:space="preserve">3.项目联系方式 </w:t>
      </w:r>
    </w:p>
    <w:p w14:paraId="47EE1149">
      <w:pPr>
        <w:pStyle w:val="4"/>
        <w:ind w:firstLine="480"/>
        <w:rPr>
          <w:rFonts w:hint="default" w:eastAsia="宋体"/>
          <w:lang w:val="en-US" w:eastAsia="zh-CN"/>
        </w:rPr>
      </w:pPr>
      <w:r>
        <w:rPr>
          <w:rFonts w:hint="eastAsia"/>
        </w:rPr>
        <w:t>项目联系人：</w:t>
      </w:r>
      <w:r>
        <w:rPr>
          <w:rFonts w:hint="eastAsia"/>
          <w:lang w:val="en-US" w:eastAsia="zh-CN"/>
        </w:rPr>
        <w:t>刘锦林</w:t>
      </w:r>
    </w:p>
    <w:p w14:paraId="52C73751">
      <w:pPr>
        <w:pStyle w:val="4"/>
        <w:ind w:firstLine="480"/>
        <w:rPr>
          <w:rFonts w:hint="default" w:eastAsia="宋体"/>
          <w:lang w:val="en-US" w:eastAsia="zh-CN"/>
        </w:rPr>
      </w:pPr>
      <w:r>
        <w:rPr>
          <w:rFonts w:hint="eastAsia"/>
        </w:rPr>
        <w:t>电 话：</w:t>
      </w:r>
      <w:r>
        <w:rPr>
          <w:rFonts w:hint="eastAsia"/>
          <w:lang w:val="en-US" w:eastAsia="zh-CN"/>
        </w:rPr>
        <w:t>15162785156</w:t>
      </w:r>
    </w:p>
    <w:p w14:paraId="77D87B1E">
      <w:pPr>
        <w:pStyle w:val="2"/>
      </w:pPr>
      <w:r>
        <w:rPr>
          <w:rFonts w:hint="eastAsia"/>
        </w:rPr>
        <w:t>投标人须知</w:t>
      </w:r>
    </w:p>
    <w:p w14:paraId="7F0C9765">
      <w:pPr>
        <w:pStyle w:val="3"/>
      </w:pPr>
      <w:r>
        <w:rPr>
          <w:rFonts w:hint="eastAsia"/>
        </w:rPr>
        <w:t>说明和释义</w:t>
      </w:r>
    </w:p>
    <w:p w14:paraId="369B3DA9">
      <w:pPr>
        <w:pStyle w:val="6"/>
      </w:pPr>
      <w:r>
        <w:rPr>
          <w:rFonts w:hint="eastAsia"/>
        </w:rPr>
        <w:t>说明</w:t>
      </w:r>
    </w:p>
    <w:p w14:paraId="7A5CE3B1">
      <w:r>
        <w:rPr>
          <w:rFonts w:hint="eastAsia"/>
        </w:rPr>
        <w:t>1.本招标文件仅适用于苏州新一造价师价格事务所有限公司组织的招标活动。</w:t>
      </w:r>
    </w:p>
    <w:p w14:paraId="4690FC5D">
      <w:r>
        <w:rPr>
          <w:rFonts w:hint="eastAsia"/>
        </w:rPr>
        <w:t>2.本次招标活动及因本次招标产生的合同受中国法律制约和保护。</w:t>
      </w:r>
    </w:p>
    <w:p w14:paraId="1B9DD146">
      <w:r>
        <w:rPr>
          <w:rFonts w:hint="eastAsia"/>
        </w:rPr>
        <w:t>3.本招标文件的解释权属于苏州新一造价师价格事务所有限公司。</w:t>
      </w:r>
    </w:p>
    <w:p w14:paraId="7A0F9EAC">
      <w:pPr>
        <w:pStyle w:val="6"/>
      </w:pPr>
      <w:r>
        <w:rPr>
          <w:rFonts w:hint="eastAsia"/>
        </w:rPr>
        <w:t>词语释义</w:t>
      </w:r>
    </w:p>
    <w:p w14:paraId="63E12167">
      <w:r>
        <w:rPr>
          <w:rFonts w:hint="eastAsia"/>
        </w:rPr>
        <w:t>1.采购人（甲方）：指招标文件中载明的，依法进行采购的国家机关、事业单位、团体组织</w:t>
      </w:r>
    </w:p>
    <w:p w14:paraId="6E208659">
      <w:r>
        <w:rPr>
          <w:rFonts w:hint="eastAsia"/>
        </w:rPr>
        <w:t>2.采购代理机构：依法接受采购人委托，从事货物、工程和服务等采购代理业务的社会中介机构。</w:t>
      </w:r>
    </w:p>
    <w:p w14:paraId="74D6DEAB">
      <w:r>
        <w:rPr>
          <w:rFonts w:hint="eastAsia"/>
        </w:rPr>
        <w:t>3.投标人（供应商）：合同中规定的向采购人提供货物和服务的法人或其他组织和自然人。</w:t>
      </w:r>
    </w:p>
    <w:p w14:paraId="02512B87">
      <w:r>
        <w:rPr>
          <w:rFonts w:hint="eastAsia"/>
        </w:rPr>
        <w:t>4.投标：投标人根据采购人或采购代理机构发布的招标文件，编制投标文件并按规定投标的行为。</w:t>
      </w:r>
    </w:p>
    <w:p w14:paraId="189FAC6C">
      <w:r>
        <w:rPr>
          <w:rFonts w:hint="eastAsia"/>
        </w:rPr>
        <w:t>5.合同：采供双方根据招标文件和中标的投标文件及中标通知书规定的内容签署的以书面形式所达成的协议，包括所有的附件、附录和构成协议的所有文件。</w:t>
      </w:r>
    </w:p>
    <w:p w14:paraId="34A11BC5">
      <w:r>
        <w:rPr>
          <w:rFonts w:hint="eastAsia"/>
        </w:rPr>
        <w:t>6.时间：除特别说明，均指北京时间。</w:t>
      </w:r>
    </w:p>
    <w:p w14:paraId="37533E91">
      <w:r>
        <w:rPr>
          <w:rFonts w:hint="eastAsia"/>
        </w:rPr>
        <w:t>7.知识产权:指专利权、商标权、著作权等无形财产专有权的统称。</w:t>
      </w:r>
    </w:p>
    <w:p w14:paraId="523CC329">
      <w:r>
        <w:rPr>
          <w:rFonts w:hint="eastAsia"/>
        </w:rPr>
        <w:t>8.交货地点:合同中明确约定的乙方提交的货物和服务最终到达地点。</w:t>
      </w:r>
    </w:p>
    <w:p w14:paraId="6DE059C0">
      <w:r>
        <w:rPr>
          <w:rFonts w:hint="eastAsia"/>
        </w:rPr>
        <w:t>9.合同价款:根据合同规定,乙方在正确地履行合同义务后甲方应支付乙方的价款。</w:t>
      </w:r>
    </w:p>
    <w:p w14:paraId="20231E02">
      <w:r>
        <w:rPr>
          <w:rFonts w:hint="eastAsia"/>
        </w:rPr>
        <w:t>10.服务：系指本次招标文件规定乙方应承担的与提供货物和服务有关的辅助服务，比如运输、保险、安装、调试、提供技术援助、培训、配合措施、维修投标及合同中规定乙方应承担的其它义务。</w:t>
      </w:r>
    </w:p>
    <w:p w14:paraId="3720B31B">
      <w:r>
        <w:rPr>
          <w:rFonts w:hint="eastAsia"/>
        </w:rPr>
        <w:t>11.不可抗力：不能预见、不能避免并且不能克服的客观情况。</w:t>
      </w:r>
    </w:p>
    <w:p w14:paraId="2B924DA2">
      <w:r>
        <w:rPr>
          <w:rFonts w:hint="eastAsia"/>
        </w:rPr>
        <w:t>12.实质性投标：满足有关本次采购标的、数量、质量、价款或者报酬、履行期限、履行地点和方式、违约责任和解决争议方法等要求。</w:t>
      </w:r>
    </w:p>
    <w:p w14:paraId="41B99A9B">
      <w:r>
        <w:rPr>
          <w:rFonts w:hint="eastAsia"/>
        </w:rPr>
        <w:t>13.书面形式：指书面文字、合同书、信件和传真等可以有形地表现所载内容的形式。</w:t>
      </w:r>
    </w:p>
    <w:p w14:paraId="3A20E2A1">
      <w:pPr>
        <w:pStyle w:val="3"/>
      </w:pPr>
      <w:r>
        <w:rPr>
          <w:rFonts w:hint="eastAsia"/>
        </w:rPr>
        <w:t>投标人</w:t>
      </w:r>
    </w:p>
    <w:p w14:paraId="2D3F4070">
      <w:pPr>
        <w:pStyle w:val="6"/>
      </w:pPr>
      <w:r>
        <w:rPr>
          <w:rFonts w:hint="eastAsia"/>
        </w:rPr>
        <w:t>投标单位应当具备下列条件：</w:t>
      </w:r>
    </w:p>
    <w:p w14:paraId="719DA8B3">
      <w:r>
        <w:rPr>
          <w:rFonts w:hint="eastAsia"/>
        </w:rPr>
        <w:t>1.具有独立承担民事责任的能力；</w:t>
      </w:r>
    </w:p>
    <w:p w14:paraId="6783A249">
      <w:r>
        <w:rPr>
          <w:rFonts w:hint="eastAsia"/>
        </w:rPr>
        <w:t>2.具有良好的商业信誉和健全的财务会计制度；</w:t>
      </w:r>
    </w:p>
    <w:p w14:paraId="60C90214">
      <w:r>
        <w:rPr>
          <w:rFonts w:hint="eastAsia"/>
        </w:rPr>
        <w:t>3.具有履行合同所必需的设备和专业技术能力；</w:t>
      </w:r>
    </w:p>
    <w:p w14:paraId="0EC30570">
      <w:r>
        <w:rPr>
          <w:rFonts w:hint="eastAsia"/>
        </w:rPr>
        <w:t>4.有依法缴纳税收和社会保障资金的良好记录；</w:t>
      </w:r>
    </w:p>
    <w:p w14:paraId="10A005C9">
      <w:r>
        <w:rPr>
          <w:rFonts w:hint="eastAsia"/>
        </w:rPr>
        <w:t>5.参加采购活动前三年内，在经营活动中没有重大违法记录；</w:t>
      </w:r>
    </w:p>
    <w:p w14:paraId="3B309698">
      <w:r>
        <w:rPr>
          <w:rFonts w:hint="eastAsia"/>
        </w:rPr>
        <w:t>6.法律、行政法规规定的其他条件；</w:t>
      </w:r>
    </w:p>
    <w:p w14:paraId="2C4D3030">
      <w:r>
        <w:rPr>
          <w:rFonts w:hint="eastAsia"/>
        </w:rPr>
        <w:t>7.招标公告中要求的特定资格要求。</w:t>
      </w:r>
    </w:p>
    <w:p w14:paraId="2A34D4F0">
      <w:pPr>
        <w:pStyle w:val="6"/>
      </w:pPr>
      <w:r>
        <w:rPr>
          <w:rFonts w:hint="eastAsia"/>
        </w:rPr>
        <w:t>投标方代表</w:t>
      </w:r>
    </w:p>
    <w:p w14:paraId="580BDC98">
      <w:pPr>
        <w:pStyle w:val="18"/>
      </w:pPr>
      <w:r>
        <w:rPr>
          <w:rFonts w:hint="eastAsia"/>
        </w:rPr>
        <w:t xml:space="preserve">指全权代表投标方参加投标活动并签署投标文件的人，如果投标方代表不是法人代表，须持有《法人代表授权委托书》。 </w:t>
      </w:r>
    </w:p>
    <w:p w14:paraId="7F6EA07B">
      <w:pPr>
        <w:pStyle w:val="6"/>
      </w:pPr>
      <w:r>
        <w:rPr>
          <w:rFonts w:hint="eastAsia"/>
        </w:rPr>
        <w:t xml:space="preserve">投标费用 </w:t>
      </w:r>
    </w:p>
    <w:p w14:paraId="2941F8FC">
      <w:r>
        <w:rPr>
          <w:rFonts w:hint="eastAsia"/>
        </w:rPr>
        <w:t>无论投标过程中的做法和结果如何，投标人自行承担所有与参加投标有关的全部费用。</w:t>
      </w:r>
    </w:p>
    <w:p w14:paraId="2C11A034">
      <w:pPr>
        <w:pStyle w:val="3"/>
      </w:pPr>
      <w:r>
        <w:rPr>
          <w:rFonts w:hint="eastAsia"/>
        </w:rPr>
        <w:t>招标文件的说明</w:t>
      </w:r>
    </w:p>
    <w:p w14:paraId="66F81D6C">
      <w:pPr>
        <w:pStyle w:val="6"/>
      </w:pPr>
      <w:r>
        <w:rPr>
          <w:rFonts w:hint="eastAsia"/>
        </w:rPr>
        <w:t>招标文件</w:t>
      </w:r>
    </w:p>
    <w:p w14:paraId="60948B5F">
      <w:r>
        <w:rPr>
          <w:rFonts w:hint="eastAsia"/>
        </w:rPr>
        <w:t>投标人获取招标文件后，应仔细检查招标文件的所有内容。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435F837C">
      <w:pPr>
        <w:pStyle w:val="3"/>
      </w:pPr>
      <w:r>
        <w:rPr>
          <w:rFonts w:hint="eastAsia"/>
        </w:rPr>
        <w:t>招标文件的澄清及修改</w:t>
      </w:r>
    </w:p>
    <w:p w14:paraId="7E8DA497">
      <w:r>
        <w:rPr>
          <w:rFonts w:hint="eastAsia"/>
        </w:rPr>
        <w:t>1.采购人或采购代理机构无论出于自己的考虑，还是出于对投标人提问的澄清，均可对已发出的招标文件用补充通知（包括更正公告）的方式进行澄清或者修改，澄清或者修改的内容为招标文件的组成部分。</w:t>
      </w:r>
    </w:p>
    <w:p w14:paraId="1DA36D5A">
      <w:r>
        <w:rPr>
          <w:rFonts w:hint="eastAsia"/>
        </w:rPr>
        <w:t>2.澄清或者修改的内容可能影响投标文件编制的，采购人或者采购代理机构应当在投标截止时间至少15日前，对外进行发布；不足15日的，采购人或者采购代理机构应当顺延提交投标文件的截止时间。</w:t>
      </w:r>
    </w:p>
    <w:p w14:paraId="4C5E0F2F">
      <w:pPr>
        <w:pStyle w:val="6"/>
      </w:pPr>
      <w:r>
        <w:rPr>
          <w:rFonts w:hint="eastAsia"/>
        </w:rPr>
        <w:t>勘察现场</w:t>
      </w:r>
    </w:p>
    <w:p w14:paraId="626852F8">
      <w:r>
        <w:rPr>
          <w:rFonts w:hint="eastAsia"/>
        </w:rPr>
        <w:t>1.根据自身投标需要，投标人可对有关现场和周围环境进行勘察，以获取编制投标文件和签署合同所需的信息。勘察现场所发生的费用由投标人自己承担（勘查时不记名不登记）。</w:t>
      </w:r>
    </w:p>
    <w:p w14:paraId="0E83B62A">
      <w:r>
        <w:rPr>
          <w:rFonts w:hint="eastAsia"/>
        </w:rPr>
        <w:t>2.招标代理机构向投标人提供的有关现场的资料和数据，是招标代理机构现有的并认为能使投标人可利用的资料。招标代理机构对投标人由此而做出的推论、理解和结论概不负责。</w:t>
      </w:r>
    </w:p>
    <w:p w14:paraId="177205DD">
      <w:pPr>
        <w:pStyle w:val="6"/>
      </w:pPr>
      <w:r>
        <w:rPr>
          <w:rFonts w:hint="eastAsia"/>
        </w:rPr>
        <w:t>答疑</w:t>
      </w:r>
    </w:p>
    <w:p w14:paraId="1193247B">
      <w:r>
        <w:rPr>
          <w:rFonts w:hint="eastAsia"/>
        </w:rPr>
        <w:t>1.供应商认为本采购文件条款使自己的权益受到损害的，应在知道或者应知权益受到损害之日起七个工作日内，以书面形式向招标代理机构提出质疑。招标代理机构应当在收到投标人书面质疑后七个工作日内作出答复。</w:t>
      </w:r>
    </w:p>
    <w:p w14:paraId="548ADC05">
      <w:r>
        <w:rPr>
          <w:rFonts w:hint="eastAsia"/>
        </w:rPr>
        <w:t>2.接受质疑函的方式：书面形式（当场送达或邮寄方式）。</w:t>
      </w:r>
    </w:p>
    <w:p w14:paraId="764E80FC">
      <w:r>
        <w:rPr>
          <w:rFonts w:hint="eastAsia"/>
        </w:rPr>
        <w:t>3,.联系单位：苏州新一造价师价格事务所有限公司</w:t>
      </w:r>
    </w:p>
    <w:p w14:paraId="37EE1B00">
      <w:pPr>
        <w:rPr>
          <w:rFonts w:hint="default" w:eastAsia="宋体"/>
          <w:lang w:val="en-US" w:eastAsia="zh-CN"/>
        </w:rPr>
      </w:pPr>
      <w:r>
        <w:rPr>
          <w:rFonts w:hint="eastAsia"/>
        </w:rPr>
        <w:t>4.收件人：</w:t>
      </w:r>
      <w:r>
        <w:rPr>
          <w:rFonts w:hint="eastAsia"/>
          <w:lang w:val="en-US" w:eastAsia="zh-CN"/>
        </w:rPr>
        <w:t>刘锦林</w:t>
      </w:r>
    </w:p>
    <w:p w14:paraId="37AC5E2F">
      <w:pPr>
        <w:rPr>
          <w:rFonts w:hint="default" w:eastAsia="宋体"/>
          <w:lang w:val="en-US" w:eastAsia="zh-CN"/>
        </w:rPr>
      </w:pPr>
      <w:r>
        <w:rPr>
          <w:rFonts w:hint="eastAsia"/>
        </w:rPr>
        <w:t>5.联系电话：</w:t>
      </w:r>
      <w:r>
        <w:rPr>
          <w:rFonts w:hint="eastAsia"/>
          <w:lang w:val="en-US" w:eastAsia="zh-CN"/>
        </w:rPr>
        <w:t>15162785156</w:t>
      </w:r>
    </w:p>
    <w:p w14:paraId="0AA094F2">
      <w:r>
        <w:rPr>
          <w:rFonts w:hint="eastAsia"/>
          <w:lang w:val="en-US" w:eastAsia="zh-CN"/>
        </w:rPr>
        <w:t>6</w:t>
      </w:r>
      <w:r>
        <w:rPr>
          <w:rFonts w:hint="eastAsia"/>
        </w:rPr>
        <w:t>.供应商如对本项目提出质疑须在法定质疑期内一次性提出针对同一采购程序环节的质疑。</w:t>
      </w:r>
    </w:p>
    <w:p w14:paraId="25B3FD3E">
      <w:pPr>
        <w:pStyle w:val="3"/>
      </w:pPr>
      <w:r>
        <w:rPr>
          <w:rFonts w:hint="eastAsia"/>
        </w:rPr>
        <w:t>投标文件的递交及上传</w:t>
      </w:r>
    </w:p>
    <w:p w14:paraId="786ACCCF">
      <w:pPr>
        <w:pStyle w:val="6"/>
      </w:pPr>
      <w:r>
        <w:rPr>
          <w:rFonts w:hint="eastAsia"/>
        </w:rPr>
        <w:t>投标文件的递交</w:t>
      </w:r>
    </w:p>
    <w:p w14:paraId="4B04EA51">
      <w:pPr>
        <w:pStyle w:val="6"/>
      </w:pPr>
      <w:r>
        <w:rPr>
          <w:rFonts w:hint="eastAsia"/>
        </w:rPr>
        <w:t>投标截止时间</w:t>
      </w:r>
    </w:p>
    <w:p w14:paraId="379BB420">
      <w:r>
        <w:rPr>
          <w:rFonts w:hint="eastAsia"/>
        </w:rPr>
        <w:t>1.投标文件必须在投标截止时间前。</w:t>
      </w:r>
    </w:p>
    <w:p w14:paraId="6831C46A">
      <w:r>
        <w:rPr>
          <w:rFonts w:hint="eastAsia"/>
        </w:rPr>
        <w:t>2.招标代理机构推迟投标截止时间时，招标代理机构和投标人的权利和义务将受到新的截止期的约束。</w:t>
      </w:r>
    </w:p>
    <w:p w14:paraId="278F0241">
      <w:r>
        <w:rPr>
          <w:rFonts w:hint="eastAsia"/>
        </w:rPr>
        <w:t>3.在投标截止时间以后送达的投标文件，招标代理机构拒绝接收。</w:t>
      </w:r>
    </w:p>
    <w:p w14:paraId="00D26AAC">
      <w:pPr>
        <w:pStyle w:val="6"/>
      </w:pPr>
      <w:r>
        <w:rPr>
          <w:rFonts w:hint="eastAsia"/>
        </w:rPr>
        <w:t>投标文件的修改和撤回</w:t>
      </w:r>
    </w:p>
    <w:p w14:paraId="0FCE5A24">
      <w:r>
        <w:rPr>
          <w:rFonts w:hint="eastAsia"/>
        </w:rPr>
        <w:t>1.投标人在投标文件网上提交截止时间前，可以对投标文件进行补充、修改。在投标文件提交截止时间之后，投标人不得对其投标文件作任何修改。</w:t>
      </w:r>
    </w:p>
    <w:p w14:paraId="2A7BA195">
      <w:r>
        <w:rPr>
          <w:rFonts w:hint="eastAsia"/>
        </w:rPr>
        <w:t>2.开标后投标人不得撤回投标。</w:t>
      </w:r>
    </w:p>
    <w:p w14:paraId="3BD2AA36">
      <w:pPr>
        <w:pStyle w:val="3"/>
      </w:pPr>
      <w:r>
        <w:rPr>
          <w:rFonts w:hint="eastAsia"/>
        </w:rPr>
        <w:t>开标和评标</w:t>
      </w:r>
    </w:p>
    <w:p w14:paraId="3ED0003F">
      <w:pPr>
        <w:pStyle w:val="6"/>
      </w:pPr>
      <w:r>
        <w:rPr>
          <w:rFonts w:hint="eastAsia"/>
        </w:rPr>
        <w:t>开标</w:t>
      </w:r>
    </w:p>
    <w:p w14:paraId="04677914">
      <w:r>
        <w:rPr>
          <w:rFonts w:hint="eastAsia"/>
        </w:rPr>
        <w:t>1.采购代理机构按采购文件规定的时间、地点主持开标。开标仪式由采购代理机构主持，采购人、投标人代表及相关方面代表参加。</w:t>
      </w:r>
    </w:p>
    <w:p w14:paraId="5357BC12">
      <w:r>
        <w:rPr>
          <w:rFonts w:hint="eastAsia"/>
        </w:rPr>
        <w:t>2.开标时，由采购代理机构宣布投标人名称、投标价格等。</w:t>
      </w:r>
    </w:p>
    <w:p w14:paraId="4E29D270">
      <w:r>
        <w:rPr>
          <w:rFonts w:hint="eastAsia"/>
        </w:rPr>
        <w:t>3.开标过程由采购人或者采购代理机构负责记录，由参加开标的各投标人代表和相关工作人员签字确认。</w:t>
      </w:r>
    </w:p>
    <w:p w14:paraId="58EA0B8F">
      <w:r>
        <w:rPr>
          <w:rFonts w:hint="eastAsia"/>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2925D2">
      <w:r>
        <w:rPr>
          <w:rFonts w:hint="eastAsia"/>
        </w:rPr>
        <w:t>5.投标人代表未参加开标的，视同认可开标结果。</w:t>
      </w:r>
    </w:p>
    <w:p w14:paraId="405DB293">
      <w:pPr>
        <w:pStyle w:val="6"/>
      </w:pPr>
      <w:r>
        <w:rPr>
          <w:rFonts w:hint="eastAsia"/>
        </w:rPr>
        <w:t>投标文件的评价和比较</w:t>
      </w:r>
    </w:p>
    <w:p w14:paraId="40273D63">
      <w:r>
        <w:rPr>
          <w:rFonts w:hint="eastAsia"/>
        </w:rPr>
        <w:t>1.评标委员会将仅对按照本须知有关规定确定为实质上响应招标文件要求的投标文件进行评价和比较。</w:t>
      </w:r>
    </w:p>
    <w:p w14:paraId="1D1AE2A5">
      <w:r>
        <w:rPr>
          <w:rFonts w:hint="eastAsia"/>
        </w:rPr>
        <w:t>2.评价和比较采用最低价评标法。</w:t>
      </w:r>
    </w:p>
    <w:p w14:paraId="408BFBBF">
      <w:pPr>
        <w:pStyle w:val="3"/>
      </w:pPr>
      <w:r>
        <w:rPr>
          <w:rFonts w:hint="eastAsia"/>
        </w:rPr>
        <w:t>授予合同</w:t>
      </w:r>
    </w:p>
    <w:p w14:paraId="170B8639">
      <w:pPr>
        <w:pStyle w:val="6"/>
      </w:pPr>
      <w:r>
        <w:rPr>
          <w:rFonts w:hint="eastAsia"/>
        </w:rPr>
        <w:t>中标单位的确认</w:t>
      </w:r>
    </w:p>
    <w:p w14:paraId="23D733AF">
      <w:r>
        <w:rPr>
          <w:rFonts w:hint="eastAsia"/>
        </w:rPr>
        <w:t>1.评标委员会根据投标人资格审查情况，对投标文件进行评价和比较，按照评标办法和标准进行评标，并按招标代理机构的委托向招标代理机构推荐中标候选单位。</w:t>
      </w:r>
    </w:p>
    <w:p w14:paraId="2EFF672F">
      <w:r>
        <w:rPr>
          <w:rFonts w:hint="eastAsia"/>
        </w:rPr>
        <w:t>2.经评标委员会评审并确定中标人后，采购代理机构将在规定的时间内将中标结果在相关媒体上予以公告，公告期为三个工作日。</w:t>
      </w:r>
    </w:p>
    <w:p w14:paraId="243C6954">
      <w:pPr>
        <w:pStyle w:val="6"/>
      </w:pPr>
      <w:r>
        <w:rPr>
          <w:rFonts w:hint="eastAsia"/>
        </w:rPr>
        <w:t>合同授予标准</w:t>
      </w:r>
    </w:p>
    <w:p w14:paraId="1CD65E6C">
      <w:r>
        <w:rPr>
          <w:rFonts w:hint="eastAsia"/>
        </w:rPr>
        <w:t>招标代理机构将把合同授予其投标文件在实质上响应招标文件要求和按本须知规定评选出的投标人。确定为中标的投标人必须具有实施本合同的能力和资源。</w:t>
      </w:r>
    </w:p>
    <w:p w14:paraId="4C9C2ABE">
      <w:pPr>
        <w:pStyle w:val="6"/>
      </w:pPr>
      <w:r>
        <w:rPr>
          <w:rFonts w:hint="eastAsia"/>
        </w:rPr>
        <w:t>中标通知书</w:t>
      </w:r>
    </w:p>
    <w:p w14:paraId="22A96FA5">
      <w:r>
        <w:rPr>
          <w:rFonts w:hint="eastAsia"/>
        </w:rPr>
        <w:t>1.采购人或采购代理机构根据相关规定发放《中标通知书》。</w:t>
      </w:r>
    </w:p>
    <w:p w14:paraId="14C143BB">
      <w:r>
        <w:rPr>
          <w:rFonts w:hint="eastAsia"/>
        </w:rPr>
        <w:t>2.《中标通知书》为合同的组成部分。</w:t>
      </w:r>
    </w:p>
    <w:p w14:paraId="668D49AB">
      <w:r>
        <w:rPr>
          <w:rFonts w:hint="eastAsia"/>
        </w:rPr>
        <w:t>3.中标通知书发出后，采购人不得违法改变中标结果，中标人无正当理由不得放弃中标。</w:t>
      </w:r>
    </w:p>
    <w:p w14:paraId="6B81FBA3">
      <w:pPr>
        <w:pStyle w:val="6"/>
      </w:pPr>
      <w:r>
        <w:rPr>
          <w:rFonts w:hint="eastAsia"/>
        </w:rPr>
        <w:t>合同的签订</w:t>
      </w:r>
    </w:p>
    <w:p w14:paraId="54EB5E0C">
      <w:r>
        <w:rPr>
          <w:rFonts w:hint="eastAsia"/>
        </w:rPr>
        <w:t>1.中标单位应按规定的时间和地点，由法定代表人或授权委托人与甲方代表签订合同。</w:t>
      </w:r>
    </w:p>
    <w:p w14:paraId="24AC7CFF">
      <w:r>
        <w:rPr>
          <w:rFonts w:hint="eastAsia"/>
        </w:rPr>
        <w:t>2.签订的合同及合同条款应以采购文件和中标人的投标文件及其澄清文件为依据。</w:t>
      </w:r>
    </w:p>
    <w:p w14:paraId="3E72F08D">
      <w:r>
        <w:rPr>
          <w:rFonts w:hint="eastAsia"/>
        </w:rPr>
        <w:t>3.中标人无正当理由不得放弃中标。签订合同及合同条款应以招标文件和中标单位的投标文件及其澄清文件为依据。</w:t>
      </w:r>
    </w:p>
    <w:p w14:paraId="0F11C0A9">
      <w:pPr>
        <w:pStyle w:val="3"/>
      </w:pPr>
      <w:r>
        <w:rPr>
          <w:rFonts w:hint="eastAsia"/>
        </w:rPr>
        <w:t>其他事项</w:t>
      </w:r>
    </w:p>
    <w:p w14:paraId="6A043A10">
      <w:r>
        <w:rPr>
          <w:rFonts w:hint="eastAsia"/>
        </w:rPr>
        <w:t>1.中标服务费：本项目不涉及</w:t>
      </w:r>
    </w:p>
    <w:p w14:paraId="17429B0C">
      <w:r>
        <w:rPr>
          <w:rFonts w:hint="eastAsia"/>
        </w:rPr>
        <w:t>2.投标保证金：本项目不涉及</w:t>
      </w:r>
    </w:p>
    <w:p w14:paraId="28E4BA40">
      <w:r>
        <w:rPr>
          <w:rFonts w:hint="eastAsia"/>
        </w:rPr>
        <w:t>3.履约保证金：本项目不涉及</w:t>
      </w:r>
    </w:p>
    <w:p w14:paraId="78465D70">
      <w:pPr>
        <w:pStyle w:val="2"/>
      </w:pPr>
      <w:r>
        <w:rPr>
          <w:rFonts w:hint="eastAsia"/>
        </w:rPr>
        <w:t>投标文件格式</w:t>
      </w:r>
    </w:p>
    <w:p w14:paraId="2197241F">
      <w:r>
        <w:t>说明：</w:t>
      </w:r>
    </w:p>
    <w:p w14:paraId="63C89309">
      <w:r>
        <w:t>对本章所有的投标书格式 ，投标方可根据自身情况进行补充和修改，但补充和修改不得造成与本格式内容有实质性的违背。</w:t>
      </w:r>
    </w:p>
    <w:p w14:paraId="0D07CEF5">
      <w:pPr>
        <w:pStyle w:val="3"/>
      </w:pPr>
      <w:r>
        <w:rPr>
          <w:rFonts w:hint="eastAsia"/>
        </w:rPr>
        <w:t>（投标方）法定代表人授权委托书</w:t>
      </w:r>
    </w:p>
    <w:p w14:paraId="4B83C54C">
      <w:pPr>
        <w:jc w:val="center"/>
      </w:pPr>
      <w:r>
        <w:rPr>
          <w:rFonts w:hint="eastAsia"/>
        </w:rPr>
        <w:t>授权委托书</w:t>
      </w:r>
    </w:p>
    <w:p w14:paraId="2CBDADB6"/>
    <w:p w14:paraId="54DC7D2A">
      <w:r>
        <w:rPr>
          <w:rFonts w:hint="eastAsia"/>
        </w:rPr>
        <w:t>本授权委托书声明：  我</w:t>
      </w:r>
      <w:r>
        <w:rPr>
          <w:rFonts w:hint="eastAsia"/>
          <w:u w:val="single"/>
        </w:rPr>
        <w:t xml:space="preserve">           </w:t>
      </w:r>
      <w:r>
        <w:rPr>
          <w:rFonts w:hint="eastAsia"/>
        </w:rPr>
        <w:t xml:space="preserve">（姓名）系 </w:t>
      </w:r>
      <w:r>
        <w:rPr>
          <w:rFonts w:hint="eastAsia"/>
          <w:u w:val="single"/>
        </w:rPr>
        <w:t xml:space="preserve">            </w:t>
      </w:r>
      <w:r>
        <w:rPr>
          <w:rFonts w:hint="eastAsia"/>
        </w:rPr>
        <w:t>（投标单位名称）的法定代表人，现授权委托</w:t>
      </w:r>
      <w:r>
        <w:rPr>
          <w:rFonts w:hint="eastAsia"/>
          <w:u w:val="single"/>
        </w:rPr>
        <w:t xml:space="preserve">              </w:t>
      </w:r>
      <w:r>
        <w:rPr>
          <w:rFonts w:hint="eastAsia"/>
        </w:rPr>
        <w:t xml:space="preserve">（单位名称）的 </w:t>
      </w:r>
      <w:r>
        <w:rPr>
          <w:rFonts w:hint="eastAsia"/>
          <w:u w:val="single"/>
        </w:rPr>
        <w:t xml:space="preserve">        </w:t>
      </w:r>
      <w:r>
        <w:rPr>
          <w:rFonts w:hint="eastAsia"/>
        </w:rPr>
        <w:t>（姓名）为我公司代理人，以本公司的名义参加</w:t>
      </w:r>
      <w:r>
        <w:rPr>
          <w:rFonts w:hint="eastAsia"/>
          <w:u w:val="single"/>
        </w:rPr>
        <w:t xml:space="preserve">          </w:t>
      </w:r>
      <w:r>
        <w:rPr>
          <w:rFonts w:hint="eastAsia"/>
          <w:u w:val="none"/>
          <w:lang w:val="en-US" w:eastAsia="zh-CN"/>
        </w:rPr>
        <w:t>项目</w:t>
      </w:r>
      <w:r>
        <w:rPr>
          <w:rFonts w:hint="eastAsia"/>
        </w:rPr>
        <w:t>的招标活动。代理人在开标、评标、合同投标过程中所签署的一切文件和处理与这有关的一切事务，我均予以承认。</w:t>
      </w:r>
    </w:p>
    <w:p w14:paraId="6C728A61">
      <w:r>
        <w:rPr>
          <w:rFonts w:hint="eastAsia"/>
        </w:rPr>
        <w:t>代理人在授权委托书有效期内签署的所有文件不因授权委托的撤销而失效，除非有撤销授权委托的书面通知，本授权委托书自投标开始至合同履行完毕止。</w:t>
      </w:r>
    </w:p>
    <w:p w14:paraId="5E8ECCE5">
      <w:r>
        <w:rPr>
          <w:rFonts w:hint="eastAsia"/>
        </w:rPr>
        <w:t>代理人无转委托权。特此委托。</w:t>
      </w:r>
    </w:p>
    <w:p w14:paraId="19FC4405">
      <w:r>
        <w:rPr>
          <w:rFonts w:hint="eastAsia"/>
        </w:rPr>
        <w:t xml:space="preserve">    </w:t>
      </w:r>
    </w:p>
    <w:p w14:paraId="1584FE13">
      <w:r>
        <w:rPr>
          <w:rFonts w:hint="eastAsia"/>
        </w:rPr>
        <w:t>投标人：（公章）</w:t>
      </w:r>
    </w:p>
    <w:p w14:paraId="194314E1">
      <w:r>
        <w:rPr>
          <w:rFonts w:hint="eastAsia"/>
        </w:rPr>
        <w:t>法定代表人：（签字）</w:t>
      </w:r>
    </w:p>
    <w:p w14:paraId="1CD235C4">
      <w:r>
        <w:rPr>
          <w:rFonts w:hint="eastAsia"/>
        </w:rPr>
        <w:t>代理人：（签字）</w:t>
      </w:r>
    </w:p>
    <w:p w14:paraId="7A19AFF8"/>
    <w:p w14:paraId="78ABBA0B"/>
    <w:p w14:paraId="0BA23439"/>
    <w:p w14:paraId="3B8A26A9">
      <w:r>
        <w:rPr>
          <w:rFonts w:hint="eastAsia"/>
        </w:rPr>
        <w:t xml:space="preserve">                                    日期：     年    月     日</w:t>
      </w:r>
    </w:p>
    <w:p w14:paraId="761161C5">
      <w:pPr>
        <w:pStyle w:val="3"/>
      </w:pPr>
      <w:r>
        <w:rPr>
          <w:rFonts w:hint="eastAsia"/>
        </w:rPr>
        <w:t>投标函</w:t>
      </w:r>
    </w:p>
    <w:p w14:paraId="06B2B35B">
      <w:pPr>
        <w:jc w:val="center"/>
        <w:rPr>
          <w:u w:val="single"/>
        </w:rPr>
      </w:pPr>
      <w:r>
        <w:rPr>
          <w:u w:val="single"/>
        </w:rPr>
        <w:t>投标函</w:t>
      </w:r>
    </w:p>
    <w:p w14:paraId="500EA8AA">
      <w:r>
        <w:rPr>
          <w:u w:val="single"/>
        </w:rPr>
        <w:t xml:space="preserve">                             </w:t>
      </w:r>
      <w:r>
        <w:t xml:space="preserve"> ：</w:t>
      </w:r>
    </w:p>
    <w:p w14:paraId="18D7C59C">
      <w:r>
        <w:t xml:space="preserve">    我方收到贵单位</w:t>
      </w:r>
      <w:r>
        <w:rPr>
          <w:u w:val="single"/>
        </w:rPr>
        <w:t xml:space="preserve">                            </w:t>
      </w:r>
      <w:r>
        <w:t>号招标文件，经仔细阅读和研究，我方决定参加投标。并向贵单位承诺：</w:t>
      </w:r>
    </w:p>
    <w:p w14:paraId="3D20EBC7">
      <w:r>
        <w:t xml:space="preserve">1、我方愿意按照招标文件的一切要求，完成“ </w:t>
      </w:r>
      <w:r>
        <w:rPr>
          <w:u w:val="single"/>
        </w:rPr>
        <w:t xml:space="preserve">                 </w:t>
      </w:r>
      <w:r>
        <w:t>（项目名称）”的全部内容，同时，除非合同条款中另有规定，否则，投标人所报价格在合同实施期间不因市场变化因素而变动。同时，除非合同条款中另有规定，否则，投标人所报价格在合同实施期间不因市场变化因素而变动。</w:t>
      </w:r>
    </w:p>
    <w:p w14:paraId="0A27EF0D">
      <w:r>
        <w:t>2、如果我方的投标书被接受，我方将严格履行招标文件中规定的每一项要求，严格履行合同的责任和义务，保证按期、按质履行合同，完成合同内容所规定的全部工作。</w:t>
      </w:r>
    </w:p>
    <w:p w14:paraId="0E6EFC4C">
      <w:r>
        <w:t xml:space="preserve">    3、我方同意按招标文件中的规定，本投标书的有效期限为开标后90天。</w:t>
      </w:r>
    </w:p>
    <w:p w14:paraId="66436942">
      <w:r>
        <w:t xml:space="preserve">    4、我方愿意提供招标方在招标文件中要求的所有资料。也同意向贵方提供贵方可能另外要求的与我方投标有关的任何证据或资料。并保证所提供的资料全部是真实的、有效的，若有虚假，我方愿承担一切责任。</w:t>
      </w:r>
    </w:p>
    <w:p w14:paraId="2FF63FD6">
      <w:r>
        <w:t xml:space="preserve">    5、我方愿意遵守招标公告及招标文件中所列的收费标准。</w:t>
      </w:r>
    </w:p>
    <w:p w14:paraId="4001AA0A">
      <w:r>
        <w:t xml:space="preserve">    6、我方承诺该项投标在开标后的全过程中保持有效，不作任何更改和变动。我方同意中标后若不履行投标文件的内容要求和各项承诺及义务的即被视为违约，我方的中标资格将被取消。</w:t>
      </w:r>
    </w:p>
    <w:p w14:paraId="17BF513B">
      <w:r>
        <w:t xml:space="preserve">    </w:t>
      </w:r>
      <w:r>
        <w:rPr>
          <w:rFonts w:hint="eastAsia"/>
        </w:rPr>
        <w:t>7</w:t>
      </w:r>
      <w:r>
        <w:t>、与本投标有关的通讯地址：</w:t>
      </w:r>
    </w:p>
    <w:p w14:paraId="3BF15C17">
      <w:r>
        <w:t xml:space="preserve">单    位：                                 联 系 人：                   </w:t>
      </w:r>
    </w:p>
    <w:p w14:paraId="75409C36">
      <w:r>
        <w:t xml:space="preserve">地    址：                                 邮    箱：                   </w:t>
      </w:r>
    </w:p>
    <w:p w14:paraId="5B01221C">
      <w:r>
        <w:t xml:space="preserve">联系电话：                                 传    真：                   </w:t>
      </w:r>
    </w:p>
    <w:p w14:paraId="314C198F">
      <w:r>
        <w:t xml:space="preserve">    开户银行：                                 银行账号：                   </w:t>
      </w:r>
    </w:p>
    <w:p w14:paraId="18D6ACFE">
      <w:r>
        <w:t>投标人：（公章）</w:t>
      </w:r>
    </w:p>
    <w:p w14:paraId="3AEFD5BA">
      <w:r>
        <w:t>法定代表人或授权委托人：（签字或签章）               年     月     日</w:t>
      </w:r>
    </w:p>
    <w:p w14:paraId="20AF7478">
      <w:pPr>
        <w:pStyle w:val="3"/>
      </w:pPr>
      <w:r>
        <w:rPr>
          <w:rFonts w:hint="eastAsia"/>
        </w:rPr>
        <w:t>开标一览表</w:t>
      </w:r>
    </w:p>
    <w:p w14:paraId="39FEDBBF">
      <w:pPr>
        <w:pStyle w:val="4"/>
        <w:ind w:firstLine="480"/>
        <w:jc w:val="center"/>
      </w:pPr>
      <w:r>
        <w:rPr>
          <w:rFonts w:hint="eastAsia"/>
        </w:rPr>
        <w:t>开标一览表</w:t>
      </w:r>
    </w:p>
    <w:p w14:paraId="1A2BFEE5">
      <w:pPr>
        <w:pStyle w:val="4"/>
        <w:ind w:firstLine="480"/>
        <w:jc w:val="right"/>
      </w:pPr>
    </w:p>
    <w:tbl>
      <w:tblPr>
        <w:tblStyle w:val="35"/>
        <w:tblpPr w:leftFromText="180" w:rightFromText="180" w:vertAnchor="text" w:horzAnchor="margin" w:tblpXSpec="center" w:tblpY="17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57"/>
        <w:gridCol w:w="1984"/>
        <w:gridCol w:w="1701"/>
        <w:gridCol w:w="1134"/>
      </w:tblGrid>
      <w:tr w14:paraId="5302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846" w:type="dxa"/>
            <w:vAlign w:val="center"/>
          </w:tcPr>
          <w:p w14:paraId="22E228CC">
            <w:pPr>
              <w:jc w:val="center"/>
              <w:rPr>
                <w:rFonts w:ascii="Cambria" w:hAnsi="Cambria"/>
                <w:color w:val="000000"/>
                <w:spacing w:val="20"/>
                <w:szCs w:val="21"/>
              </w:rPr>
            </w:pPr>
            <w:r>
              <w:rPr>
                <w:rFonts w:hint="eastAsia" w:ascii="Cambria" w:hAnsi="Cambria"/>
                <w:color w:val="000000"/>
                <w:spacing w:val="20"/>
                <w:szCs w:val="21"/>
              </w:rPr>
              <w:t>序号</w:t>
            </w:r>
          </w:p>
        </w:tc>
        <w:tc>
          <w:tcPr>
            <w:tcW w:w="3657" w:type="dxa"/>
            <w:vAlign w:val="center"/>
          </w:tcPr>
          <w:p w14:paraId="12AE07B5">
            <w:pPr>
              <w:jc w:val="center"/>
              <w:rPr>
                <w:rFonts w:ascii="Cambria" w:hAnsi="Cambria"/>
                <w:color w:val="000000"/>
                <w:spacing w:val="20"/>
                <w:szCs w:val="21"/>
              </w:rPr>
            </w:pPr>
            <w:r>
              <w:rPr>
                <w:rFonts w:hint="eastAsia" w:ascii="Cambria" w:hAnsi="Cambria"/>
                <w:color w:val="000000"/>
                <w:spacing w:val="20"/>
                <w:szCs w:val="21"/>
              </w:rPr>
              <w:t>项目名称</w:t>
            </w:r>
          </w:p>
        </w:tc>
        <w:tc>
          <w:tcPr>
            <w:tcW w:w="1984" w:type="dxa"/>
            <w:vAlign w:val="center"/>
          </w:tcPr>
          <w:p w14:paraId="3C36B71A">
            <w:pPr>
              <w:jc w:val="center"/>
              <w:rPr>
                <w:rFonts w:ascii="Cambria" w:hAnsi="Cambria"/>
                <w:color w:val="000000"/>
                <w:spacing w:val="20"/>
                <w:szCs w:val="21"/>
              </w:rPr>
            </w:pPr>
            <w:r>
              <w:rPr>
                <w:rFonts w:hint="eastAsia" w:ascii="Cambria" w:hAnsi="Cambria"/>
                <w:color w:val="000000"/>
                <w:spacing w:val="20"/>
                <w:szCs w:val="21"/>
              </w:rPr>
              <w:t>投标报价</w:t>
            </w:r>
          </w:p>
          <w:p w14:paraId="63344D91">
            <w:pPr>
              <w:jc w:val="center"/>
              <w:rPr>
                <w:rFonts w:ascii="Cambria" w:hAnsi="Cambria"/>
                <w:color w:val="000000"/>
                <w:spacing w:val="20"/>
                <w:szCs w:val="21"/>
              </w:rPr>
            </w:pPr>
            <w:r>
              <w:rPr>
                <w:rFonts w:ascii="Cambria" w:hAnsi="Cambria"/>
                <w:color w:val="000000"/>
                <w:spacing w:val="20"/>
                <w:szCs w:val="21"/>
              </w:rPr>
              <w:t>(</w:t>
            </w:r>
            <w:r>
              <w:rPr>
                <w:rFonts w:hint="eastAsia" w:ascii="Cambria" w:hAnsi="Cambria"/>
                <w:color w:val="000000"/>
                <w:spacing w:val="20"/>
                <w:szCs w:val="21"/>
              </w:rPr>
              <w:t>万元</w:t>
            </w:r>
            <w:r>
              <w:rPr>
                <w:rFonts w:ascii="Cambria" w:hAnsi="Cambria"/>
                <w:color w:val="000000"/>
                <w:spacing w:val="20"/>
                <w:szCs w:val="21"/>
              </w:rPr>
              <w:t>)</w:t>
            </w:r>
          </w:p>
        </w:tc>
        <w:tc>
          <w:tcPr>
            <w:tcW w:w="1701" w:type="dxa"/>
            <w:vAlign w:val="center"/>
          </w:tcPr>
          <w:p w14:paraId="03440723">
            <w:pPr>
              <w:jc w:val="center"/>
              <w:rPr>
                <w:rFonts w:ascii="Cambria" w:hAnsi="Cambria"/>
                <w:color w:val="000000"/>
                <w:spacing w:val="20"/>
                <w:szCs w:val="21"/>
              </w:rPr>
            </w:pPr>
            <w:r>
              <w:rPr>
                <w:rFonts w:hint="eastAsia" w:ascii="Cambria" w:hAnsi="Cambria"/>
                <w:color w:val="000000"/>
                <w:spacing w:val="20"/>
                <w:szCs w:val="21"/>
              </w:rPr>
              <w:t>工期</w:t>
            </w:r>
          </w:p>
        </w:tc>
        <w:tc>
          <w:tcPr>
            <w:tcW w:w="1134" w:type="dxa"/>
            <w:vAlign w:val="center"/>
          </w:tcPr>
          <w:p w14:paraId="33DF5E14">
            <w:pPr>
              <w:rPr>
                <w:rFonts w:ascii="Cambria" w:hAnsi="Cambria"/>
                <w:color w:val="000000"/>
                <w:spacing w:val="20"/>
                <w:szCs w:val="21"/>
              </w:rPr>
            </w:pPr>
            <w:r>
              <w:rPr>
                <w:rFonts w:hint="eastAsia" w:ascii="Cambria" w:hAnsi="Cambria"/>
                <w:color w:val="000000"/>
                <w:spacing w:val="20"/>
                <w:szCs w:val="21"/>
              </w:rPr>
              <w:t>备注</w:t>
            </w:r>
          </w:p>
        </w:tc>
      </w:tr>
      <w:tr w14:paraId="504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846" w:type="dxa"/>
            <w:vAlign w:val="center"/>
          </w:tcPr>
          <w:p w14:paraId="1049687D">
            <w:pPr>
              <w:spacing w:line="320" w:lineRule="exact"/>
              <w:jc w:val="center"/>
              <w:rPr>
                <w:rFonts w:ascii="Cambria" w:hAnsi="Cambria"/>
                <w:color w:val="000000"/>
                <w:spacing w:val="20"/>
                <w:szCs w:val="21"/>
              </w:rPr>
            </w:pPr>
            <w:r>
              <w:rPr>
                <w:rFonts w:ascii="Cambria" w:hAnsi="Cambria"/>
                <w:color w:val="000000"/>
                <w:spacing w:val="20"/>
                <w:szCs w:val="21"/>
              </w:rPr>
              <w:t>1</w:t>
            </w:r>
          </w:p>
        </w:tc>
        <w:tc>
          <w:tcPr>
            <w:tcW w:w="3657" w:type="dxa"/>
            <w:vAlign w:val="center"/>
          </w:tcPr>
          <w:p w14:paraId="28BCB489">
            <w:pPr>
              <w:pStyle w:val="29"/>
              <w:spacing w:line="240" w:lineRule="auto"/>
              <w:ind w:firstLine="0" w:firstLineChars="0"/>
              <w:rPr>
                <w:rFonts w:ascii="Cambria" w:hAnsi="Cambria"/>
                <w:color w:val="000000"/>
                <w:spacing w:val="20"/>
                <w:sz w:val="21"/>
                <w:szCs w:val="21"/>
              </w:rPr>
            </w:pPr>
          </w:p>
        </w:tc>
        <w:tc>
          <w:tcPr>
            <w:tcW w:w="1984" w:type="dxa"/>
            <w:vAlign w:val="center"/>
          </w:tcPr>
          <w:p w14:paraId="202A76FB">
            <w:pPr>
              <w:spacing w:line="320" w:lineRule="exact"/>
              <w:rPr>
                <w:rFonts w:ascii="Cambria" w:hAnsi="Cambria"/>
                <w:color w:val="000000"/>
                <w:spacing w:val="20"/>
                <w:szCs w:val="21"/>
              </w:rPr>
            </w:pPr>
          </w:p>
        </w:tc>
        <w:tc>
          <w:tcPr>
            <w:tcW w:w="1701" w:type="dxa"/>
            <w:vAlign w:val="center"/>
          </w:tcPr>
          <w:p w14:paraId="54E0904B">
            <w:pPr>
              <w:pStyle w:val="29"/>
              <w:spacing w:line="240" w:lineRule="auto"/>
              <w:ind w:firstLine="0" w:firstLineChars="0"/>
              <w:rPr>
                <w:rFonts w:hint="eastAsia" w:ascii="宋体" w:hAnsi="宋体"/>
                <w:color w:val="000000"/>
                <w:sz w:val="21"/>
                <w:szCs w:val="21"/>
              </w:rPr>
            </w:pPr>
          </w:p>
        </w:tc>
        <w:tc>
          <w:tcPr>
            <w:tcW w:w="1134" w:type="dxa"/>
            <w:vAlign w:val="center"/>
          </w:tcPr>
          <w:p w14:paraId="5B50B81B">
            <w:pPr>
              <w:spacing w:line="320" w:lineRule="exact"/>
              <w:rPr>
                <w:rFonts w:ascii="Cambria" w:hAnsi="Cambria"/>
                <w:color w:val="000000"/>
                <w:spacing w:val="20"/>
                <w:szCs w:val="21"/>
              </w:rPr>
            </w:pPr>
          </w:p>
        </w:tc>
      </w:tr>
    </w:tbl>
    <w:p w14:paraId="5B018A39">
      <w:pPr>
        <w:pStyle w:val="4"/>
        <w:ind w:firstLine="480"/>
        <w:jc w:val="center"/>
      </w:pPr>
    </w:p>
    <w:p w14:paraId="0D594C51">
      <w:pPr>
        <w:pStyle w:val="4"/>
        <w:ind w:firstLine="480"/>
        <w:jc w:val="center"/>
      </w:pPr>
    </w:p>
    <w:p w14:paraId="6442C96E">
      <w:pPr>
        <w:pStyle w:val="4"/>
        <w:ind w:firstLine="480"/>
        <w:jc w:val="center"/>
      </w:pPr>
    </w:p>
    <w:p w14:paraId="43605192">
      <w:pPr>
        <w:pStyle w:val="4"/>
        <w:ind w:firstLine="480"/>
        <w:jc w:val="left"/>
      </w:pPr>
      <w:r>
        <w:rPr>
          <w:rFonts w:hint="eastAsia"/>
        </w:rPr>
        <w:t>投标人：（单位盖章）</w:t>
      </w:r>
    </w:p>
    <w:p w14:paraId="536C22A3">
      <w:pPr>
        <w:pStyle w:val="4"/>
        <w:ind w:firstLine="480"/>
        <w:jc w:val="left"/>
      </w:pPr>
      <w:r>
        <w:rPr>
          <w:rFonts w:hint="eastAsia"/>
        </w:rPr>
        <w:t>法定代表人或代理人：（签字或盖章）</w:t>
      </w:r>
    </w:p>
    <w:p w14:paraId="1A3ECE44">
      <w:pPr>
        <w:pStyle w:val="4"/>
        <w:ind w:firstLine="480"/>
        <w:jc w:val="left"/>
      </w:pPr>
      <w:r>
        <w:rPr>
          <w:rFonts w:hint="eastAsia"/>
        </w:rPr>
        <w:t>日期：  年  月  日</w:t>
      </w:r>
    </w:p>
    <w:p w14:paraId="1DF5AACE">
      <w:pPr>
        <w:pStyle w:val="3"/>
      </w:pPr>
      <w:r>
        <w:rPr>
          <w:rFonts w:hint="eastAsia"/>
        </w:rPr>
        <w:t>商务条款偏离表</w:t>
      </w:r>
    </w:p>
    <w:p w14:paraId="5A559FB6">
      <w:pPr>
        <w:pStyle w:val="4"/>
        <w:ind w:firstLine="480"/>
        <w:jc w:val="center"/>
      </w:pPr>
      <w:r>
        <w:rPr>
          <w:rFonts w:hint="eastAsia"/>
        </w:rPr>
        <w:t>商务条款偏离表</w:t>
      </w:r>
    </w:p>
    <w:p w14:paraId="5696A800">
      <w:pPr>
        <w:pStyle w:val="4"/>
        <w:ind w:firstLine="480"/>
        <w:jc w:val="left"/>
      </w:pPr>
      <w:r>
        <w:rPr>
          <w:rFonts w:hint="eastAsia"/>
        </w:rPr>
        <w:t>项目名称：</w:t>
      </w:r>
    </w:p>
    <w:tbl>
      <w:tblPr>
        <w:tblStyle w:val="35"/>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402"/>
        <w:gridCol w:w="2956"/>
        <w:gridCol w:w="1444"/>
        <w:gridCol w:w="992"/>
      </w:tblGrid>
      <w:tr w14:paraId="3048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1F41FA17">
            <w:pPr>
              <w:spacing w:before="156" w:after="156"/>
              <w:rPr>
                <w:rFonts w:hint="eastAsia" w:ascii="宋体" w:hAnsi="宋体" w:cs="宋体"/>
                <w:b/>
                <w:bCs/>
                <w:color w:val="000000"/>
                <w:szCs w:val="21"/>
              </w:rPr>
            </w:pPr>
            <w:r>
              <w:rPr>
                <w:rFonts w:hint="eastAsia" w:ascii="宋体" w:hAnsi="宋体" w:cs="宋体"/>
                <w:b/>
                <w:bCs/>
                <w:color w:val="000000"/>
                <w:szCs w:val="21"/>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DDF6CCC">
            <w:pPr>
              <w:spacing w:before="156" w:after="156"/>
              <w:rPr>
                <w:rFonts w:hint="eastAsia" w:ascii="宋体" w:hAnsi="宋体" w:cs="宋体"/>
                <w:b/>
                <w:bCs/>
                <w:color w:val="000000"/>
                <w:szCs w:val="21"/>
              </w:rPr>
            </w:pPr>
            <w:r>
              <w:rPr>
                <w:rFonts w:hint="eastAsia" w:ascii="宋体" w:hAnsi="宋体" w:cs="宋体"/>
                <w:b/>
                <w:bCs/>
                <w:color w:val="000000"/>
                <w:szCs w:val="21"/>
              </w:rPr>
              <w:t>招标文件的商务条款</w:t>
            </w:r>
          </w:p>
        </w:tc>
        <w:tc>
          <w:tcPr>
            <w:tcW w:w="2956" w:type="dxa"/>
            <w:tcBorders>
              <w:top w:val="single" w:color="auto" w:sz="4" w:space="0"/>
              <w:left w:val="single" w:color="auto" w:sz="4" w:space="0"/>
              <w:bottom w:val="single" w:color="auto" w:sz="4" w:space="0"/>
              <w:right w:val="single" w:color="auto" w:sz="4" w:space="0"/>
            </w:tcBorders>
            <w:vAlign w:val="center"/>
          </w:tcPr>
          <w:p w14:paraId="048B4193">
            <w:pPr>
              <w:spacing w:before="156" w:after="156"/>
              <w:rPr>
                <w:rFonts w:hint="eastAsia" w:ascii="宋体" w:hAnsi="宋体" w:cs="宋体"/>
                <w:b/>
                <w:bCs/>
                <w:color w:val="000000"/>
                <w:szCs w:val="21"/>
              </w:rPr>
            </w:pPr>
            <w:r>
              <w:rPr>
                <w:rFonts w:hint="eastAsia" w:ascii="宋体" w:hAnsi="宋体" w:cs="宋体"/>
                <w:b/>
                <w:bCs/>
                <w:color w:val="000000"/>
                <w:szCs w:val="21"/>
              </w:rPr>
              <w:t>投标文件的商务条款</w:t>
            </w:r>
          </w:p>
        </w:tc>
        <w:tc>
          <w:tcPr>
            <w:tcW w:w="1444" w:type="dxa"/>
            <w:tcBorders>
              <w:top w:val="single" w:color="auto" w:sz="4" w:space="0"/>
              <w:left w:val="single" w:color="auto" w:sz="4" w:space="0"/>
              <w:bottom w:val="single" w:color="auto" w:sz="4" w:space="0"/>
              <w:right w:val="single" w:color="auto" w:sz="4" w:space="0"/>
            </w:tcBorders>
            <w:vAlign w:val="center"/>
          </w:tcPr>
          <w:p w14:paraId="617EDFAF">
            <w:pPr>
              <w:spacing w:before="156" w:after="156"/>
              <w:rPr>
                <w:rFonts w:hint="eastAsia" w:ascii="宋体" w:hAnsi="宋体" w:cs="宋体"/>
                <w:b/>
                <w:bCs/>
                <w:color w:val="000000"/>
                <w:szCs w:val="21"/>
              </w:rPr>
            </w:pPr>
            <w:r>
              <w:rPr>
                <w:rFonts w:hint="eastAsia" w:ascii="宋体" w:hAnsi="宋体" w:cs="宋体"/>
                <w:b/>
                <w:color w:val="000000"/>
                <w:szCs w:val="21"/>
              </w:rPr>
              <w:t>偏离/响应</w:t>
            </w:r>
          </w:p>
        </w:tc>
        <w:tc>
          <w:tcPr>
            <w:tcW w:w="992" w:type="dxa"/>
            <w:tcBorders>
              <w:top w:val="single" w:color="auto" w:sz="4" w:space="0"/>
              <w:left w:val="single" w:color="auto" w:sz="4" w:space="0"/>
              <w:bottom w:val="single" w:color="auto" w:sz="4" w:space="0"/>
              <w:right w:val="single" w:color="auto" w:sz="4" w:space="0"/>
            </w:tcBorders>
            <w:vAlign w:val="center"/>
          </w:tcPr>
          <w:p w14:paraId="7E1934D2">
            <w:pPr>
              <w:spacing w:before="156" w:after="156"/>
              <w:rPr>
                <w:rFonts w:hint="eastAsia" w:ascii="宋体" w:hAnsi="宋体" w:cs="宋体"/>
                <w:b/>
                <w:bCs/>
                <w:color w:val="000000"/>
                <w:szCs w:val="21"/>
              </w:rPr>
            </w:pPr>
            <w:r>
              <w:rPr>
                <w:rFonts w:hint="eastAsia" w:ascii="宋体" w:hAnsi="宋体" w:cs="宋体"/>
                <w:b/>
                <w:bCs/>
                <w:color w:val="000000"/>
                <w:szCs w:val="21"/>
              </w:rPr>
              <w:t>说明</w:t>
            </w:r>
          </w:p>
        </w:tc>
      </w:tr>
      <w:tr w14:paraId="7151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7E7E2F71">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3829A7D4">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4BAC114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71EC32A8">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34419AC">
            <w:pPr>
              <w:spacing w:before="156" w:after="156"/>
              <w:rPr>
                <w:rFonts w:hint="eastAsia" w:ascii="宋体" w:hAnsi="宋体" w:cs="宋体"/>
                <w:color w:val="000000"/>
                <w:szCs w:val="21"/>
              </w:rPr>
            </w:pPr>
          </w:p>
        </w:tc>
      </w:tr>
      <w:tr w14:paraId="4950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4B452B47">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6C1D57FA">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5096CE5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5558B078">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F8DFBCA">
            <w:pPr>
              <w:spacing w:before="156" w:after="156"/>
              <w:rPr>
                <w:rFonts w:hint="eastAsia" w:ascii="宋体" w:hAnsi="宋体" w:cs="宋体"/>
                <w:color w:val="000000"/>
                <w:szCs w:val="21"/>
              </w:rPr>
            </w:pPr>
          </w:p>
        </w:tc>
      </w:tr>
      <w:tr w14:paraId="28A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675C8982">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7487B5C6">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2A5D88F2">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3E7572B1">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87360B4">
            <w:pPr>
              <w:spacing w:before="156" w:after="156"/>
              <w:rPr>
                <w:rFonts w:hint="eastAsia" w:ascii="宋体" w:hAnsi="宋体" w:cs="宋体"/>
                <w:color w:val="000000"/>
                <w:szCs w:val="21"/>
              </w:rPr>
            </w:pPr>
          </w:p>
        </w:tc>
      </w:tr>
      <w:tr w14:paraId="2FC0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2C75FB69">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176F2EA6">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0E0AA0ED">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353B8842">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D4463EB">
            <w:pPr>
              <w:spacing w:before="156" w:after="156"/>
              <w:rPr>
                <w:rFonts w:hint="eastAsia" w:ascii="宋体" w:hAnsi="宋体" w:cs="宋体"/>
                <w:color w:val="000000"/>
                <w:szCs w:val="21"/>
              </w:rPr>
            </w:pPr>
          </w:p>
        </w:tc>
      </w:tr>
      <w:tr w14:paraId="6151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41518445">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51A4CBF1">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4C5E8500">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6EE8C356">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2AD2DDD">
            <w:pPr>
              <w:spacing w:before="156" w:after="156"/>
              <w:rPr>
                <w:rFonts w:hint="eastAsia" w:ascii="宋体" w:hAnsi="宋体" w:cs="宋体"/>
                <w:color w:val="000000"/>
                <w:szCs w:val="21"/>
              </w:rPr>
            </w:pPr>
          </w:p>
        </w:tc>
      </w:tr>
      <w:tr w14:paraId="74A3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507FD452">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2B6E501B">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058C8F43">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18BED5AB">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04BC8A3">
            <w:pPr>
              <w:spacing w:before="156" w:after="156"/>
              <w:rPr>
                <w:rFonts w:hint="eastAsia" w:ascii="宋体" w:hAnsi="宋体" w:cs="宋体"/>
                <w:color w:val="000000"/>
                <w:szCs w:val="21"/>
              </w:rPr>
            </w:pPr>
          </w:p>
        </w:tc>
      </w:tr>
      <w:tr w14:paraId="474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3D0712B0">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3602AC0D">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39EF0B2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6500F3DE">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9515478">
            <w:pPr>
              <w:spacing w:before="156" w:after="156"/>
              <w:rPr>
                <w:rFonts w:hint="eastAsia" w:ascii="宋体" w:hAnsi="宋体" w:cs="宋体"/>
                <w:color w:val="000000"/>
                <w:szCs w:val="21"/>
              </w:rPr>
            </w:pPr>
          </w:p>
        </w:tc>
      </w:tr>
      <w:tr w14:paraId="2766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33AB8816">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469A4A62">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5890F32A">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51941C84">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726A0D6">
            <w:pPr>
              <w:spacing w:before="156" w:after="156"/>
              <w:rPr>
                <w:rFonts w:hint="eastAsia" w:ascii="宋体" w:hAnsi="宋体" w:cs="宋体"/>
                <w:color w:val="000000"/>
                <w:szCs w:val="21"/>
              </w:rPr>
            </w:pPr>
          </w:p>
        </w:tc>
      </w:tr>
      <w:tr w14:paraId="1CD0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2EC91A03">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49CFC06F">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04E3FB3C">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545E34C7">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57191F5">
            <w:pPr>
              <w:spacing w:before="156" w:after="156"/>
              <w:rPr>
                <w:rFonts w:hint="eastAsia" w:ascii="宋体" w:hAnsi="宋体" w:cs="宋体"/>
                <w:color w:val="000000"/>
                <w:szCs w:val="21"/>
              </w:rPr>
            </w:pPr>
          </w:p>
        </w:tc>
      </w:tr>
      <w:tr w14:paraId="6C06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54278EB0">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2A9DE92B">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5D925F5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70A2D1C4">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7FF3808">
            <w:pPr>
              <w:spacing w:before="156" w:after="156"/>
              <w:rPr>
                <w:rFonts w:hint="eastAsia" w:ascii="宋体" w:hAnsi="宋体" w:cs="宋体"/>
                <w:color w:val="000000"/>
                <w:szCs w:val="21"/>
              </w:rPr>
            </w:pPr>
          </w:p>
        </w:tc>
      </w:tr>
    </w:tbl>
    <w:p w14:paraId="0C896874">
      <w:pPr>
        <w:pStyle w:val="4"/>
        <w:ind w:firstLine="480"/>
        <w:jc w:val="left"/>
      </w:pPr>
    </w:p>
    <w:p w14:paraId="69158694">
      <w:pPr>
        <w:pStyle w:val="4"/>
        <w:ind w:firstLine="480"/>
        <w:jc w:val="left"/>
      </w:pPr>
      <w:r>
        <w:t>投标人：（单位盖章）</w:t>
      </w:r>
    </w:p>
    <w:p w14:paraId="533E0B67">
      <w:pPr>
        <w:pStyle w:val="4"/>
        <w:ind w:firstLine="480"/>
        <w:jc w:val="left"/>
      </w:pPr>
      <w:r>
        <w:t>法定代表人或代理人：（签字或盖章）</w:t>
      </w:r>
    </w:p>
    <w:p w14:paraId="460E8280">
      <w:pPr>
        <w:pStyle w:val="4"/>
        <w:ind w:firstLine="480"/>
        <w:jc w:val="left"/>
      </w:pPr>
      <w:r>
        <w:t>日期：         年         月       日</w:t>
      </w:r>
    </w:p>
    <w:p w14:paraId="541125C5">
      <w:pPr>
        <w:pStyle w:val="4"/>
        <w:ind w:firstLine="480"/>
        <w:jc w:val="left"/>
      </w:pPr>
    </w:p>
    <w:p w14:paraId="214325CE">
      <w:pPr>
        <w:pStyle w:val="4"/>
        <w:ind w:firstLine="480"/>
        <w:jc w:val="left"/>
      </w:pPr>
      <w:r>
        <w:t>注：</w:t>
      </w:r>
    </w:p>
    <w:p w14:paraId="7D23BA8D">
      <w:pPr>
        <w:pStyle w:val="4"/>
        <w:numPr>
          <w:ilvl w:val="0"/>
          <w:numId w:val="2"/>
        </w:numPr>
        <w:ind w:firstLine="480"/>
        <w:jc w:val="left"/>
      </w:pPr>
      <w:r>
        <w:t>投标人的投标文件（除技术要求部分）与采购文件规定的有偏离的，应在此表中说明。未在上表中说明的，如在响应文件其他内容中已有文字说明的，则以已有文字说明为准，否则，将被认为完全响应采购文件的规定。但该表不作为供应商对所投标的物关于商务条款等详细描述和说明的替代。</w:t>
      </w:r>
    </w:p>
    <w:p w14:paraId="33F30631">
      <w:pPr>
        <w:pStyle w:val="3"/>
      </w:pPr>
      <w:r>
        <w:rPr>
          <w:rFonts w:hint="eastAsia"/>
        </w:rPr>
        <w:t>关于资格文件的声明函</w:t>
      </w:r>
    </w:p>
    <w:p w14:paraId="530EB8EA">
      <w:pPr>
        <w:pStyle w:val="4"/>
        <w:ind w:firstLine="0" w:firstLineChars="0"/>
        <w:jc w:val="center"/>
      </w:pPr>
      <w:r>
        <w:rPr>
          <w:rFonts w:hint="eastAsia"/>
        </w:rPr>
        <w:t>关于资格文件的声明函</w:t>
      </w:r>
    </w:p>
    <w:p w14:paraId="4A677EBE">
      <w:pPr>
        <w:pStyle w:val="4"/>
        <w:ind w:firstLine="0" w:firstLineChars="0"/>
        <w:jc w:val="center"/>
      </w:pPr>
      <w:r>
        <w:t xml:space="preserve">                                     </w:t>
      </w:r>
    </w:p>
    <w:p w14:paraId="717CEC52">
      <w:pPr>
        <w:pStyle w:val="4"/>
        <w:ind w:firstLine="480"/>
        <w:jc w:val="left"/>
      </w:pPr>
      <w:r>
        <w:t xml:space="preserve">本单位愿就由贵单位组织实施的 </w:t>
      </w:r>
      <w:r>
        <w:rPr>
          <w:u w:val="single"/>
        </w:rPr>
        <w:t xml:space="preserve">                   </w:t>
      </w:r>
      <w:r>
        <w:rPr>
          <w:rFonts w:hint="eastAsia"/>
          <w:lang w:val="en-US" w:eastAsia="zh-CN"/>
        </w:rPr>
        <w:t>项目</w:t>
      </w:r>
      <w:r>
        <w:t>的招标活动进行投标。本单位所提交的投标文件中所有关于投标资格的文件、证明和陈述均是真实的、准确的。若与真实情况不符，本公司愿意承担由此而产生的一切后果。</w:t>
      </w:r>
    </w:p>
    <w:p w14:paraId="085713ED">
      <w:pPr>
        <w:pStyle w:val="4"/>
        <w:wordWrap w:val="0"/>
        <w:ind w:firstLine="0" w:firstLineChars="0"/>
        <w:jc w:val="right"/>
      </w:pPr>
      <w:r>
        <w:t xml:space="preserve"> </w:t>
      </w:r>
      <w:r>
        <w:tab/>
      </w:r>
      <w:r>
        <w:tab/>
      </w:r>
      <w:r>
        <w:tab/>
      </w:r>
      <w:r>
        <w:tab/>
      </w:r>
      <w:r>
        <w:t xml:space="preserve">        </w:t>
      </w:r>
    </w:p>
    <w:p w14:paraId="5D9B5FFF">
      <w:pPr>
        <w:pStyle w:val="4"/>
        <w:wordWrap w:val="0"/>
        <w:ind w:firstLine="0" w:firstLineChars="0"/>
        <w:jc w:val="right"/>
      </w:pPr>
    </w:p>
    <w:p w14:paraId="7CF419B8">
      <w:pPr>
        <w:pStyle w:val="4"/>
        <w:wordWrap w:val="0"/>
        <w:ind w:firstLine="0" w:firstLineChars="0"/>
        <w:jc w:val="right"/>
      </w:pPr>
      <w:r>
        <w:t>（投标人）法定代表人</w:t>
      </w:r>
      <w:r>
        <w:rPr>
          <w:rFonts w:hint="eastAsia"/>
          <w:lang w:val="en-US" w:eastAsia="zh-CN"/>
        </w:rPr>
        <w:t>或代理人</w:t>
      </w:r>
      <w:r>
        <w:t>签字：</w:t>
      </w:r>
      <w:r>
        <w:rPr>
          <w:rFonts w:hint="eastAsia"/>
        </w:rPr>
        <w:t xml:space="preserve">        </w:t>
      </w:r>
    </w:p>
    <w:p w14:paraId="56F8CA16">
      <w:pPr>
        <w:pStyle w:val="4"/>
        <w:wordWrap w:val="0"/>
        <w:ind w:firstLine="0" w:firstLineChars="0"/>
        <w:jc w:val="right"/>
      </w:pPr>
      <w:r>
        <w:t>（投标人）公章：</w:t>
      </w:r>
      <w:r>
        <w:rPr>
          <w:rFonts w:hint="eastAsia"/>
        </w:rPr>
        <w:t xml:space="preserve">        </w:t>
      </w:r>
    </w:p>
    <w:p w14:paraId="12A7038D">
      <w:pPr>
        <w:pStyle w:val="4"/>
        <w:ind w:firstLine="0" w:firstLineChars="0"/>
        <w:jc w:val="right"/>
      </w:pPr>
      <w:r>
        <w:t>年</w:t>
      </w:r>
      <w:r>
        <w:tab/>
      </w:r>
      <w:r>
        <w:t xml:space="preserve"> </w:t>
      </w:r>
      <w:r>
        <w:rPr>
          <w:rFonts w:hint="eastAsia"/>
        </w:rPr>
        <w:t xml:space="preserve"> </w:t>
      </w:r>
      <w:r>
        <w:t xml:space="preserve">月 </w:t>
      </w:r>
      <w:r>
        <w:tab/>
      </w:r>
      <w:r>
        <w:t>日</w:t>
      </w:r>
    </w:p>
    <w:p w14:paraId="42B502B6">
      <w:pPr>
        <w:pStyle w:val="3"/>
      </w:pPr>
      <w:r>
        <w:rPr>
          <w:rFonts w:hint="eastAsia"/>
        </w:rPr>
        <w:t>投标人情况表</w:t>
      </w:r>
    </w:p>
    <w:tbl>
      <w:tblPr>
        <w:tblStyle w:val="35"/>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1"/>
        <w:gridCol w:w="950"/>
        <w:gridCol w:w="1917"/>
        <w:gridCol w:w="780"/>
        <w:gridCol w:w="2445"/>
      </w:tblGrid>
      <w:tr w14:paraId="5740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81" w:type="dxa"/>
            <w:vAlign w:val="center"/>
          </w:tcPr>
          <w:p w14:paraId="34810F64">
            <w:pPr>
              <w:adjustRightInd w:val="0"/>
              <w:snapToGrid w:val="0"/>
              <w:spacing w:before="82" w:line="224" w:lineRule="auto"/>
              <w:jc w:val="center"/>
              <w:rPr>
                <w:rFonts w:hint="eastAsia" w:ascii="宋体" w:hAnsi="宋体" w:cs="宋体"/>
                <w:sz w:val="24"/>
              </w:rPr>
            </w:pPr>
            <w:r>
              <w:rPr>
                <w:rFonts w:ascii="宋体" w:hAnsi="宋体" w:cs="宋体"/>
                <w:spacing w:val="2"/>
                <w:sz w:val="24"/>
              </w:rPr>
              <w:t>投标人名称</w:t>
            </w:r>
          </w:p>
        </w:tc>
        <w:tc>
          <w:tcPr>
            <w:tcW w:w="6092" w:type="dxa"/>
            <w:gridSpan w:val="4"/>
            <w:vAlign w:val="center"/>
          </w:tcPr>
          <w:p w14:paraId="68F1205E">
            <w:pPr>
              <w:pStyle w:val="45"/>
              <w:adjustRightInd w:val="0"/>
              <w:snapToGrid w:val="0"/>
              <w:jc w:val="center"/>
              <w:rPr>
                <w:rFonts w:hint="eastAsia" w:ascii="宋体" w:hAnsi="宋体"/>
                <w:sz w:val="24"/>
              </w:rPr>
            </w:pPr>
          </w:p>
        </w:tc>
      </w:tr>
      <w:tr w14:paraId="5FC4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181" w:type="dxa"/>
            <w:vAlign w:val="center"/>
          </w:tcPr>
          <w:p w14:paraId="4F219BD1">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注册资金</w:t>
            </w:r>
          </w:p>
        </w:tc>
        <w:tc>
          <w:tcPr>
            <w:tcW w:w="2867" w:type="dxa"/>
            <w:gridSpan w:val="2"/>
            <w:vAlign w:val="center"/>
          </w:tcPr>
          <w:p w14:paraId="6930A30B">
            <w:pPr>
              <w:adjustRightInd w:val="0"/>
              <w:snapToGrid w:val="0"/>
              <w:spacing w:before="82" w:line="224" w:lineRule="auto"/>
              <w:jc w:val="center"/>
              <w:rPr>
                <w:rFonts w:hint="eastAsia" w:ascii="宋体" w:hAnsi="宋体" w:cs="宋体"/>
                <w:spacing w:val="2"/>
                <w:sz w:val="24"/>
              </w:rPr>
            </w:pPr>
          </w:p>
        </w:tc>
        <w:tc>
          <w:tcPr>
            <w:tcW w:w="780" w:type="dxa"/>
            <w:vAlign w:val="center"/>
          </w:tcPr>
          <w:p w14:paraId="053315D4">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成立</w:t>
            </w:r>
            <w:r>
              <w:rPr>
                <w:rFonts w:hint="eastAsia" w:ascii="宋体" w:hAnsi="宋体" w:cs="宋体"/>
                <w:spacing w:val="2"/>
                <w:sz w:val="24"/>
              </w:rPr>
              <w:t>时间</w:t>
            </w:r>
          </w:p>
        </w:tc>
        <w:tc>
          <w:tcPr>
            <w:tcW w:w="2445" w:type="dxa"/>
            <w:vAlign w:val="center"/>
          </w:tcPr>
          <w:p w14:paraId="29DF1F2E">
            <w:pPr>
              <w:adjustRightInd w:val="0"/>
              <w:snapToGrid w:val="0"/>
              <w:spacing w:before="82" w:line="224" w:lineRule="auto"/>
              <w:jc w:val="center"/>
              <w:rPr>
                <w:rFonts w:hint="eastAsia" w:ascii="宋体" w:hAnsi="宋体" w:cs="宋体"/>
                <w:spacing w:val="2"/>
                <w:sz w:val="24"/>
              </w:rPr>
            </w:pPr>
          </w:p>
        </w:tc>
      </w:tr>
      <w:tr w14:paraId="4FAA9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Align w:val="center"/>
          </w:tcPr>
          <w:p w14:paraId="275FABC1">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注册地址</w:t>
            </w:r>
          </w:p>
        </w:tc>
        <w:tc>
          <w:tcPr>
            <w:tcW w:w="6092" w:type="dxa"/>
            <w:gridSpan w:val="4"/>
            <w:vAlign w:val="center"/>
          </w:tcPr>
          <w:p w14:paraId="623A2512">
            <w:pPr>
              <w:adjustRightInd w:val="0"/>
              <w:snapToGrid w:val="0"/>
              <w:spacing w:before="82" w:line="224" w:lineRule="auto"/>
              <w:jc w:val="center"/>
              <w:rPr>
                <w:rFonts w:hint="eastAsia" w:ascii="宋体" w:hAnsi="宋体" w:cs="宋体"/>
                <w:spacing w:val="2"/>
                <w:sz w:val="24"/>
              </w:rPr>
            </w:pPr>
          </w:p>
        </w:tc>
      </w:tr>
      <w:tr w14:paraId="6EB8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181" w:type="dxa"/>
            <w:vAlign w:val="center"/>
          </w:tcPr>
          <w:p w14:paraId="1E231646">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邮政编码</w:t>
            </w:r>
          </w:p>
        </w:tc>
        <w:tc>
          <w:tcPr>
            <w:tcW w:w="2867" w:type="dxa"/>
            <w:gridSpan w:val="2"/>
            <w:vAlign w:val="center"/>
          </w:tcPr>
          <w:p w14:paraId="7D70898B">
            <w:pPr>
              <w:adjustRightInd w:val="0"/>
              <w:snapToGrid w:val="0"/>
              <w:spacing w:before="82" w:line="224" w:lineRule="auto"/>
              <w:jc w:val="center"/>
              <w:rPr>
                <w:rFonts w:hint="eastAsia" w:ascii="宋体" w:hAnsi="宋体" w:cs="宋体"/>
                <w:spacing w:val="2"/>
                <w:sz w:val="24"/>
              </w:rPr>
            </w:pPr>
          </w:p>
        </w:tc>
        <w:tc>
          <w:tcPr>
            <w:tcW w:w="780" w:type="dxa"/>
            <w:vAlign w:val="center"/>
          </w:tcPr>
          <w:p w14:paraId="47E1A96D">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员工总数</w:t>
            </w:r>
          </w:p>
        </w:tc>
        <w:tc>
          <w:tcPr>
            <w:tcW w:w="2445" w:type="dxa"/>
            <w:vAlign w:val="center"/>
          </w:tcPr>
          <w:p w14:paraId="304C531C">
            <w:pPr>
              <w:adjustRightInd w:val="0"/>
              <w:snapToGrid w:val="0"/>
              <w:spacing w:before="82" w:line="224" w:lineRule="auto"/>
              <w:jc w:val="center"/>
              <w:rPr>
                <w:rFonts w:hint="eastAsia" w:ascii="宋体" w:hAnsi="宋体" w:cs="宋体"/>
                <w:spacing w:val="2"/>
                <w:sz w:val="24"/>
              </w:rPr>
            </w:pPr>
          </w:p>
        </w:tc>
      </w:tr>
      <w:tr w14:paraId="0D30D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Merge w:val="restart"/>
            <w:tcBorders>
              <w:bottom w:val="nil"/>
            </w:tcBorders>
            <w:vAlign w:val="center"/>
          </w:tcPr>
          <w:p w14:paraId="113A783A">
            <w:pPr>
              <w:adjustRightInd w:val="0"/>
              <w:snapToGrid w:val="0"/>
              <w:spacing w:before="78" w:line="225" w:lineRule="auto"/>
              <w:jc w:val="center"/>
              <w:rPr>
                <w:rFonts w:hint="eastAsia" w:ascii="宋体" w:hAnsi="宋体" w:cs="宋体"/>
                <w:sz w:val="24"/>
              </w:rPr>
            </w:pPr>
            <w:r>
              <w:rPr>
                <w:rFonts w:ascii="宋体" w:hAnsi="宋体" w:cs="宋体"/>
                <w:spacing w:val="2"/>
                <w:sz w:val="24"/>
              </w:rPr>
              <w:t>联系方式</w:t>
            </w:r>
          </w:p>
        </w:tc>
        <w:tc>
          <w:tcPr>
            <w:tcW w:w="950" w:type="dxa"/>
            <w:vAlign w:val="center"/>
          </w:tcPr>
          <w:p w14:paraId="10A1AE56">
            <w:pPr>
              <w:adjustRightInd w:val="0"/>
              <w:snapToGrid w:val="0"/>
              <w:spacing w:before="63" w:line="225" w:lineRule="auto"/>
              <w:jc w:val="center"/>
              <w:rPr>
                <w:rFonts w:hint="eastAsia" w:ascii="宋体" w:hAnsi="宋体" w:cs="宋体"/>
                <w:sz w:val="24"/>
              </w:rPr>
            </w:pPr>
            <w:r>
              <w:rPr>
                <w:rFonts w:ascii="宋体" w:hAnsi="宋体" w:cs="宋体"/>
                <w:spacing w:val="1"/>
                <w:sz w:val="24"/>
              </w:rPr>
              <w:t>联系人</w:t>
            </w:r>
          </w:p>
        </w:tc>
        <w:tc>
          <w:tcPr>
            <w:tcW w:w="1917" w:type="dxa"/>
            <w:vAlign w:val="center"/>
          </w:tcPr>
          <w:p w14:paraId="5A48E34C">
            <w:pPr>
              <w:pStyle w:val="45"/>
              <w:adjustRightInd w:val="0"/>
              <w:snapToGrid w:val="0"/>
              <w:jc w:val="center"/>
              <w:rPr>
                <w:rFonts w:hint="eastAsia" w:ascii="宋体" w:hAnsi="宋体"/>
                <w:sz w:val="24"/>
              </w:rPr>
            </w:pPr>
          </w:p>
        </w:tc>
        <w:tc>
          <w:tcPr>
            <w:tcW w:w="780" w:type="dxa"/>
            <w:vAlign w:val="center"/>
          </w:tcPr>
          <w:p w14:paraId="614B9FA9">
            <w:pPr>
              <w:adjustRightInd w:val="0"/>
              <w:snapToGrid w:val="0"/>
              <w:spacing w:before="63" w:line="225" w:lineRule="auto"/>
              <w:jc w:val="center"/>
              <w:rPr>
                <w:rFonts w:hint="eastAsia" w:ascii="宋体" w:hAnsi="宋体" w:cs="宋体"/>
                <w:sz w:val="24"/>
              </w:rPr>
            </w:pPr>
            <w:r>
              <w:rPr>
                <w:rFonts w:ascii="宋体" w:hAnsi="宋体" w:cs="宋体"/>
                <w:spacing w:val="-8"/>
                <w:sz w:val="24"/>
              </w:rPr>
              <w:t>电话</w:t>
            </w:r>
          </w:p>
        </w:tc>
        <w:tc>
          <w:tcPr>
            <w:tcW w:w="2445" w:type="dxa"/>
            <w:vAlign w:val="center"/>
          </w:tcPr>
          <w:p w14:paraId="76E5153A">
            <w:pPr>
              <w:pStyle w:val="45"/>
              <w:adjustRightInd w:val="0"/>
              <w:snapToGrid w:val="0"/>
              <w:jc w:val="center"/>
              <w:rPr>
                <w:rFonts w:hint="eastAsia" w:ascii="宋体" w:hAnsi="宋体"/>
                <w:sz w:val="24"/>
              </w:rPr>
            </w:pPr>
          </w:p>
        </w:tc>
      </w:tr>
      <w:tr w14:paraId="5482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Merge w:val="continue"/>
            <w:tcBorders>
              <w:top w:val="nil"/>
            </w:tcBorders>
            <w:vAlign w:val="center"/>
          </w:tcPr>
          <w:p w14:paraId="35F44D04">
            <w:pPr>
              <w:pStyle w:val="45"/>
              <w:adjustRightInd w:val="0"/>
              <w:snapToGrid w:val="0"/>
              <w:jc w:val="center"/>
              <w:rPr>
                <w:rFonts w:hint="eastAsia" w:ascii="宋体" w:hAnsi="宋体"/>
                <w:sz w:val="24"/>
              </w:rPr>
            </w:pPr>
          </w:p>
        </w:tc>
        <w:tc>
          <w:tcPr>
            <w:tcW w:w="950" w:type="dxa"/>
            <w:vAlign w:val="center"/>
          </w:tcPr>
          <w:p w14:paraId="57B24687">
            <w:pPr>
              <w:adjustRightInd w:val="0"/>
              <w:snapToGrid w:val="0"/>
              <w:spacing w:before="63" w:line="228" w:lineRule="auto"/>
              <w:jc w:val="center"/>
              <w:rPr>
                <w:rFonts w:hint="eastAsia" w:ascii="宋体" w:hAnsi="宋体" w:cs="宋体"/>
                <w:sz w:val="24"/>
              </w:rPr>
            </w:pPr>
            <w:r>
              <w:rPr>
                <w:rFonts w:ascii="宋体" w:hAnsi="宋体" w:cs="宋体"/>
                <w:spacing w:val="-5"/>
                <w:sz w:val="24"/>
              </w:rPr>
              <w:t>网址</w:t>
            </w:r>
          </w:p>
        </w:tc>
        <w:tc>
          <w:tcPr>
            <w:tcW w:w="1917" w:type="dxa"/>
            <w:vAlign w:val="center"/>
          </w:tcPr>
          <w:p w14:paraId="11F416F3">
            <w:pPr>
              <w:pStyle w:val="61"/>
              <w:rPr>
                <w:rFonts w:hint="eastAsia" w:ascii="宋体" w:hAnsi="宋体"/>
              </w:rPr>
            </w:pPr>
          </w:p>
        </w:tc>
        <w:tc>
          <w:tcPr>
            <w:tcW w:w="780" w:type="dxa"/>
            <w:vAlign w:val="center"/>
          </w:tcPr>
          <w:p w14:paraId="62792B03">
            <w:pPr>
              <w:adjustRightInd w:val="0"/>
              <w:snapToGrid w:val="0"/>
              <w:spacing w:before="64" w:line="222" w:lineRule="auto"/>
              <w:jc w:val="center"/>
              <w:rPr>
                <w:rFonts w:hint="eastAsia" w:ascii="宋体" w:hAnsi="宋体" w:cs="宋体"/>
                <w:sz w:val="24"/>
              </w:rPr>
            </w:pPr>
            <w:r>
              <w:rPr>
                <w:rFonts w:ascii="宋体" w:hAnsi="宋体" w:cs="宋体"/>
                <w:spacing w:val="1"/>
                <w:sz w:val="24"/>
              </w:rPr>
              <w:t>传真</w:t>
            </w:r>
          </w:p>
        </w:tc>
        <w:tc>
          <w:tcPr>
            <w:tcW w:w="2445" w:type="dxa"/>
            <w:vAlign w:val="center"/>
          </w:tcPr>
          <w:p w14:paraId="0EC24086">
            <w:pPr>
              <w:pStyle w:val="45"/>
              <w:adjustRightInd w:val="0"/>
              <w:snapToGrid w:val="0"/>
              <w:jc w:val="center"/>
              <w:rPr>
                <w:rFonts w:hint="eastAsia" w:ascii="宋体" w:hAnsi="宋体"/>
                <w:sz w:val="24"/>
              </w:rPr>
            </w:pPr>
          </w:p>
        </w:tc>
      </w:tr>
      <w:tr w14:paraId="2DCBF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2181" w:type="dxa"/>
            <w:vAlign w:val="center"/>
          </w:tcPr>
          <w:p w14:paraId="7471EE1C">
            <w:pPr>
              <w:adjustRightInd w:val="0"/>
              <w:snapToGrid w:val="0"/>
              <w:spacing w:before="78" w:line="225" w:lineRule="auto"/>
              <w:jc w:val="center"/>
              <w:rPr>
                <w:rFonts w:hint="eastAsia" w:ascii="宋体" w:hAnsi="宋体" w:cs="宋体"/>
                <w:spacing w:val="2"/>
                <w:sz w:val="24"/>
              </w:rPr>
            </w:pPr>
            <w:r>
              <w:rPr>
                <w:rFonts w:ascii="宋体" w:hAnsi="宋体" w:cs="宋体"/>
                <w:spacing w:val="2"/>
                <w:sz w:val="24"/>
              </w:rPr>
              <w:t>法定代表人</w:t>
            </w:r>
          </w:p>
          <w:p w14:paraId="7ACF1086">
            <w:pPr>
              <w:adjustRightInd w:val="0"/>
              <w:snapToGrid w:val="0"/>
              <w:spacing w:before="78" w:line="225" w:lineRule="auto"/>
              <w:jc w:val="center"/>
              <w:rPr>
                <w:rFonts w:hint="eastAsia" w:ascii="宋体" w:hAnsi="宋体" w:cs="宋体"/>
                <w:sz w:val="24"/>
              </w:rPr>
            </w:pPr>
            <w:r>
              <w:rPr>
                <w:rFonts w:ascii="宋体" w:hAnsi="宋体" w:cs="宋体"/>
                <w:spacing w:val="2"/>
                <w:sz w:val="24"/>
              </w:rPr>
              <w:t>（单位负责人）</w:t>
            </w:r>
          </w:p>
        </w:tc>
        <w:tc>
          <w:tcPr>
            <w:tcW w:w="950" w:type="dxa"/>
            <w:vAlign w:val="center"/>
          </w:tcPr>
          <w:p w14:paraId="0A5FDA9E">
            <w:pPr>
              <w:adjustRightInd w:val="0"/>
              <w:snapToGrid w:val="0"/>
              <w:spacing w:before="63" w:line="228" w:lineRule="auto"/>
              <w:jc w:val="center"/>
              <w:rPr>
                <w:rFonts w:hint="eastAsia" w:ascii="宋体" w:hAnsi="宋体" w:cs="宋体"/>
                <w:spacing w:val="-5"/>
                <w:sz w:val="24"/>
              </w:rPr>
            </w:pPr>
            <w:r>
              <w:rPr>
                <w:rFonts w:ascii="宋体" w:hAnsi="宋体" w:cs="宋体"/>
                <w:spacing w:val="-5"/>
                <w:sz w:val="24"/>
              </w:rPr>
              <w:t>姓名</w:t>
            </w:r>
          </w:p>
        </w:tc>
        <w:tc>
          <w:tcPr>
            <w:tcW w:w="1917" w:type="dxa"/>
            <w:vAlign w:val="center"/>
          </w:tcPr>
          <w:p w14:paraId="6780A58A">
            <w:pPr>
              <w:adjustRightInd w:val="0"/>
              <w:snapToGrid w:val="0"/>
              <w:spacing w:before="63" w:line="228" w:lineRule="auto"/>
              <w:jc w:val="center"/>
              <w:rPr>
                <w:rFonts w:hint="eastAsia" w:ascii="宋体" w:hAnsi="宋体" w:cs="宋体"/>
                <w:spacing w:val="-5"/>
                <w:sz w:val="24"/>
              </w:rPr>
            </w:pPr>
          </w:p>
        </w:tc>
        <w:tc>
          <w:tcPr>
            <w:tcW w:w="780" w:type="dxa"/>
            <w:vAlign w:val="center"/>
          </w:tcPr>
          <w:p w14:paraId="7818AD49">
            <w:pPr>
              <w:adjustRightInd w:val="0"/>
              <w:snapToGrid w:val="0"/>
              <w:spacing w:before="63" w:line="228" w:lineRule="auto"/>
              <w:jc w:val="center"/>
              <w:rPr>
                <w:rFonts w:hint="eastAsia" w:ascii="宋体" w:hAnsi="宋体" w:cs="宋体"/>
                <w:spacing w:val="-5"/>
                <w:sz w:val="24"/>
              </w:rPr>
            </w:pPr>
            <w:r>
              <w:rPr>
                <w:rFonts w:ascii="宋体" w:hAnsi="宋体" w:cs="宋体"/>
                <w:spacing w:val="-5"/>
                <w:sz w:val="24"/>
              </w:rPr>
              <w:t>电话</w:t>
            </w:r>
          </w:p>
        </w:tc>
        <w:tc>
          <w:tcPr>
            <w:tcW w:w="2445" w:type="dxa"/>
            <w:vAlign w:val="center"/>
          </w:tcPr>
          <w:p w14:paraId="1F9F0BAB">
            <w:pPr>
              <w:adjustRightInd w:val="0"/>
              <w:snapToGrid w:val="0"/>
              <w:spacing w:before="63" w:line="228" w:lineRule="auto"/>
              <w:jc w:val="center"/>
              <w:rPr>
                <w:rFonts w:hint="eastAsia" w:ascii="宋体" w:hAnsi="宋体" w:cs="宋体"/>
                <w:spacing w:val="-5"/>
                <w:sz w:val="24"/>
              </w:rPr>
            </w:pPr>
          </w:p>
        </w:tc>
      </w:tr>
      <w:tr w14:paraId="394D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2181" w:type="dxa"/>
            <w:vAlign w:val="center"/>
          </w:tcPr>
          <w:p w14:paraId="1BB6E589">
            <w:pPr>
              <w:adjustRightInd w:val="0"/>
              <w:snapToGrid w:val="0"/>
              <w:spacing w:before="21" w:line="224" w:lineRule="auto"/>
              <w:jc w:val="center"/>
              <w:rPr>
                <w:rFonts w:hint="eastAsia" w:ascii="宋体" w:hAnsi="宋体" w:cs="宋体"/>
                <w:sz w:val="24"/>
              </w:rPr>
            </w:pPr>
            <w:r>
              <w:rPr>
                <w:rFonts w:ascii="宋体" w:hAnsi="宋体" w:cs="宋体"/>
                <w:spacing w:val="3"/>
                <w:sz w:val="24"/>
              </w:rPr>
              <w:t>投标人须知要求投标人需具有的各类</w:t>
            </w:r>
            <w:r>
              <w:rPr>
                <w:rFonts w:ascii="宋体" w:hAnsi="宋体" w:cs="宋体"/>
                <w:sz w:val="24"/>
              </w:rPr>
              <w:t>资质证书</w:t>
            </w:r>
          </w:p>
        </w:tc>
        <w:tc>
          <w:tcPr>
            <w:tcW w:w="6092" w:type="dxa"/>
            <w:gridSpan w:val="4"/>
            <w:vAlign w:val="center"/>
          </w:tcPr>
          <w:p w14:paraId="4C39234A">
            <w:pPr>
              <w:widowControl/>
              <w:jc w:val="left"/>
              <w:rPr>
                <w:rFonts w:hint="eastAsia" w:ascii="宋体" w:hAnsi="宋体" w:cs="宋体"/>
                <w:color w:val="000000"/>
                <w:kern w:val="0"/>
                <w:sz w:val="24"/>
                <w:lang w:bidi="ar"/>
              </w:rPr>
            </w:pPr>
          </w:p>
          <w:p w14:paraId="06B39CCC">
            <w:pPr>
              <w:widowControl/>
              <w:jc w:val="left"/>
              <w:rPr>
                <w:rFonts w:hint="eastAsia" w:ascii="宋体" w:hAnsi="宋体" w:cs="宋体"/>
                <w:sz w:val="24"/>
              </w:rPr>
            </w:pPr>
          </w:p>
        </w:tc>
      </w:tr>
      <w:tr w14:paraId="6A72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2181" w:type="dxa"/>
            <w:vAlign w:val="center"/>
          </w:tcPr>
          <w:p w14:paraId="71308150">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基本存款账户开户银行</w:t>
            </w:r>
          </w:p>
        </w:tc>
        <w:tc>
          <w:tcPr>
            <w:tcW w:w="6092" w:type="dxa"/>
            <w:gridSpan w:val="4"/>
            <w:vAlign w:val="center"/>
          </w:tcPr>
          <w:p w14:paraId="1C364013">
            <w:pPr>
              <w:pStyle w:val="45"/>
              <w:adjustRightInd w:val="0"/>
              <w:snapToGrid w:val="0"/>
              <w:jc w:val="center"/>
              <w:rPr>
                <w:rFonts w:hint="eastAsia" w:ascii="宋体" w:hAnsi="宋体"/>
                <w:sz w:val="24"/>
              </w:rPr>
            </w:pPr>
          </w:p>
        </w:tc>
      </w:tr>
      <w:tr w14:paraId="1E73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2181" w:type="dxa"/>
            <w:vAlign w:val="center"/>
          </w:tcPr>
          <w:p w14:paraId="46F34FFA">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基本存款账户银行账号</w:t>
            </w:r>
          </w:p>
        </w:tc>
        <w:tc>
          <w:tcPr>
            <w:tcW w:w="6092" w:type="dxa"/>
            <w:gridSpan w:val="4"/>
            <w:vAlign w:val="center"/>
          </w:tcPr>
          <w:p w14:paraId="0236EDA0">
            <w:pPr>
              <w:pStyle w:val="45"/>
              <w:adjustRightInd w:val="0"/>
              <w:snapToGrid w:val="0"/>
              <w:jc w:val="center"/>
              <w:rPr>
                <w:rFonts w:hint="eastAsia" w:ascii="宋体" w:hAnsi="宋体"/>
                <w:sz w:val="24"/>
              </w:rPr>
            </w:pPr>
          </w:p>
        </w:tc>
      </w:tr>
      <w:tr w14:paraId="518D9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Align w:val="center"/>
          </w:tcPr>
          <w:p w14:paraId="7AEE6145">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经营范围</w:t>
            </w:r>
          </w:p>
        </w:tc>
        <w:tc>
          <w:tcPr>
            <w:tcW w:w="6092" w:type="dxa"/>
            <w:gridSpan w:val="4"/>
            <w:vAlign w:val="center"/>
          </w:tcPr>
          <w:p w14:paraId="6EC55209">
            <w:pPr>
              <w:pStyle w:val="45"/>
              <w:adjustRightInd w:val="0"/>
              <w:snapToGrid w:val="0"/>
              <w:jc w:val="center"/>
              <w:rPr>
                <w:rFonts w:hint="eastAsia" w:ascii="宋体" w:hAnsi="宋体"/>
                <w:sz w:val="24"/>
              </w:rPr>
            </w:pPr>
          </w:p>
        </w:tc>
      </w:tr>
      <w:tr w14:paraId="2673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trPr>
        <w:tc>
          <w:tcPr>
            <w:tcW w:w="2181" w:type="dxa"/>
            <w:vAlign w:val="center"/>
          </w:tcPr>
          <w:p w14:paraId="76E7C927">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投标人关联企业情况</w:t>
            </w:r>
          </w:p>
        </w:tc>
        <w:tc>
          <w:tcPr>
            <w:tcW w:w="6092" w:type="dxa"/>
            <w:gridSpan w:val="4"/>
            <w:vAlign w:val="center"/>
          </w:tcPr>
          <w:p w14:paraId="61A69731">
            <w:pPr>
              <w:adjustRightInd w:val="0"/>
              <w:snapToGrid w:val="0"/>
              <w:spacing w:before="82" w:line="224" w:lineRule="auto"/>
              <w:rPr>
                <w:rFonts w:hint="eastAsia" w:ascii="宋体" w:hAnsi="宋体" w:cs="宋体"/>
                <w:spacing w:val="2"/>
                <w:sz w:val="24"/>
              </w:rPr>
            </w:pPr>
          </w:p>
        </w:tc>
      </w:tr>
      <w:tr w14:paraId="5527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181" w:type="dxa"/>
            <w:vAlign w:val="center"/>
          </w:tcPr>
          <w:p w14:paraId="306DA81B">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投标货物制造商名</w:t>
            </w:r>
          </w:p>
          <w:p w14:paraId="6B76076B">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称</w:t>
            </w:r>
          </w:p>
        </w:tc>
        <w:tc>
          <w:tcPr>
            <w:tcW w:w="6092" w:type="dxa"/>
            <w:gridSpan w:val="4"/>
            <w:vAlign w:val="center"/>
          </w:tcPr>
          <w:p w14:paraId="760424EF">
            <w:pPr>
              <w:adjustRightInd w:val="0"/>
              <w:snapToGrid w:val="0"/>
              <w:spacing w:before="82" w:line="224" w:lineRule="auto"/>
              <w:rPr>
                <w:rFonts w:hint="eastAsia" w:ascii="宋体" w:hAnsi="宋体" w:cs="宋体"/>
                <w:spacing w:val="2"/>
                <w:sz w:val="24"/>
              </w:rPr>
            </w:pPr>
          </w:p>
        </w:tc>
      </w:tr>
      <w:tr w14:paraId="60DD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2181" w:type="dxa"/>
          </w:tcPr>
          <w:p w14:paraId="7974C770">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投标人须知要求  投标货物制造商需具有的资质证书</w:t>
            </w:r>
          </w:p>
        </w:tc>
        <w:tc>
          <w:tcPr>
            <w:tcW w:w="6092" w:type="dxa"/>
            <w:gridSpan w:val="4"/>
          </w:tcPr>
          <w:p w14:paraId="5EE66A84">
            <w:pPr>
              <w:adjustRightInd w:val="0"/>
              <w:snapToGrid w:val="0"/>
              <w:spacing w:before="82" w:line="224" w:lineRule="auto"/>
              <w:rPr>
                <w:rFonts w:hint="eastAsia" w:ascii="宋体" w:hAnsi="宋体" w:cs="宋体"/>
                <w:spacing w:val="2"/>
                <w:sz w:val="24"/>
              </w:rPr>
            </w:pPr>
          </w:p>
        </w:tc>
      </w:tr>
      <w:tr w14:paraId="6FFC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81" w:type="dxa"/>
          </w:tcPr>
          <w:p w14:paraId="50BCC11A">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备注</w:t>
            </w:r>
          </w:p>
        </w:tc>
        <w:tc>
          <w:tcPr>
            <w:tcW w:w="6092" w:type="dxa"/>
            <w:gridSpan w:val="4"/>
          </w:tcPr>
          <w:p w14:paraId="146888B8">
            <w:pPr>
              <w:adjustRightInd w:val="0"/>
              <w:snapToGrid w:val="0"/>
              <w:spacing w:before="82" w:line="224" w:lineRule="auto"/>
              <w:rPr>
                <w:rFonts w:hint="eastAsia" w:ascii="宋体" w:hAnsi="宋体" w:cs="宋体"/>
                <w:spacing w:val="2"/>
                <w:sz w:val="24"/>
              </w:rPr>
            </w:pPr>
          </w:p>
        </w:tc>
      </w:tr>
    </w:tbl>
    <w:p w14:paraId="1EC891D5">
      <w:pPr>
        <w:pStyle w:val="2"/>
      </w:pPr>
      <w:r>
        <w:rPr>
          <w:rFonts w:hint="eastAsia"/>
        </w:rPr>
        <w:t>合同模板</w:t>
      </w:r>
    </w:p>
    <w:p w14:paraId="270C799B">
      <w:pPr>
        <w:jc w:val="center"/>
        <w:rPr>
          <w:rFonts w:hint="eastAsia" w:ascii="仿宋" w:hAnsi="仿宋" w:cs="仿宋"/>
          <w:b/>
          <w:sz w:val="44"/>
          <w:szCs w:val="44"/>
        </w:rPr>
      </w:pPr>
    </w:p>
    <w:p w14:paraId="07C7B5D5">
      <w:pPr>
        <w:jc w:val="center"/>
        <w:rPr>
          <w:rFonts w:hint="eastAsia" w:ascii="仿宋" w:hAnsi="仿宋" w:cs="仿宋"/>
          <w:b/>
          <w:sz w:val="44"/>
          <w:szCs w:val="44"/>
        </w:rPr>
      </w:pPr>
    </w:p>
    <w:p w14:paraId="47F03FBC">
      <w:pPr>
        <w:jc w:val="center"/>
        <w:rPr>
          <w:rFonts w:hint="eastAsia" w:ascii="仿宋" w:hAnsi="仿宋" w:cs="仿宋"/>
          <w:b/>
          <w:sz w:val="44"/>
          <w:szCs w:val="44"/>
        </w:rPr>
      </w:pPr>
    </w:p>
    <w:p w14:paraId="06795229">
      <w:pPr>
        <w:jc w:val="center"/>
        <w:rPr>
          <w:rFonts w:hint="eastAsia" w:ascii="仿宋" w:hAnsi="仿宋" w:cs="仿宋"/>
          <w:b/>
          <w:sz w:val="44"/>
          <w:szCs w:val="44"/>
        </w:rPr>
      </w:pPr>
    </w:p>
    <w:p w14:paraId="276EB095">
      <w:pPr>
        <w:jc w:val="center"/>
        <w:rPr>
          <w:rFonts w:hint="eastAsia" w:ascii="仿宋" w:hAnsi="仿宋" w:cs="仿宋"/>
          <w:b/>
          <w:sz w:val="44"/>
          <w:szCs w:val="44"/>
        </w:rPr>
      </w:pPr>
      <w:r>
        <w:rPr>
          <w:rFonts w:hint="eastAsia" w:ascii="仿宋" w:hAnsi="仿宋" w:cs="仿宋"/>
          <w:b/>
          <w:sz w:val="44"/>
          <w:szCs w:val="44"/>
        </w:rPr>
        <w:t>铁马江苏区域定制化传输服务项目</w:t>
      </w:r>
    </w:p>
    <w:p w14:paraId="2E0BE8E1">
      <w:pPr>
        <w:spacing w:before="156" w:beforeLines="50" w:line="300" w:lineRule="auto"/>
        <w:ind w:left="5218" w:leftChars="2485"/>
        <w:rPr>
          <w:rFonts w:hint="eastAsia" w:ascii="仿宋" w:hAnsi="仿宋" w:cs="仿宋"/>
          <w:sz w:val="24"/>
        </w:rPr>
      </w:pPr>
      <w:r>
        <w:rPr>
          <w:rFonts w:hint="eastAsia" w:ascii="仿宋" w:hAnsi="仿宋" w:cs="仿宋"/>
          <w:sz w:val="24"/>
        </w:rPr>
        <w:t xml:space="preserve"> </w:t>
      </w:r>
    </w:p>
    <w:p w14:paraId="6148E5EA">
      <w:pPr>
        <w:snapToGrid w:val="0"/>
        <w:spacing w:line="300" w:lineRule="auto"/>
        <w:ind w:firstLine="482" w:firstLineChars="200"/>
        <w:jc w:val="left"/>
        <w:rPr>
          <w:rFonts w:hint="eastAsia" w:ascii="仿宋" w:hAnsi="仿宋" w:cs="仿宋"/>
          <w:b/>
          <w:sz w:val="24"/>
        </w:rPr>
      </w:pPr>
    </w:p>
    <w:p w14:paraId="7C832CC3">
      <w:pPr>
        <w:snapToGrid w:val="0"/>
        <w:spacing w:line="300" w:lineRule="auto"/>
        <w:ind w:firstLine="482" w:firstLineChars="200"/>
        <w:jc w:val="left"/>
        <w:rPr>
          <w:rFonts w:hint="eastAsia" w:ascii="仿宋" w:hAnsi="仿宋" w:cs="仿宋"/>
          <w:b/>
          <w:sz w:val="24"/>
        </w:rPr>
      </w:pPr>
    </w:p>
    <w:p w14:paraId="3F6A57E8">
      <w:pPr>
        <w:snapToGrid w:val="0"/>
        <w:spacing w:line="300" w:lineRule="auto"/>
        <w:ind w:firstLine="482" w:firstLineChars="200"/>
        <w:jc w:val="left"/>
        <w:rPr>
          <w:rFonts w:hint="eastAsia" w:ascii="仿宋" w:hAnsi="仿宋" w:cs="仿宋"/>
          <w:b/>
          <w:sz w:val="24"/>
        </w:rPr>
      </w:pPr>
    </w:p>
    <w:p w14:paraId="502FA179">
      <w:pPr>
        <w:snapToGrid w:val="0"/>
        <w:spacing w:line="300" w:lineRule="auto"/>
        <w:ind w:firstLine="482" w:firstLineChars="200"/>
        <w:jc w:val="left"/>
        <w:rPr>
          <w:rFonts w:hint="eastAsia" w:ascii="仿宋" w:hAnsi="仿宋" w:cs="仿宋"/>
          <w:b/>
          <w:sz w:val="24"/>
        </w:rPr>
      </w:pPr>
    </w:p>
    <w:p w14:paraId="09461BD3">
      <w:pPr>
        <w:snapToGrid w:val="0"/>
        <w:spacing w:line="300" w:lineRule="auto"/>
        <w:ind w:firstLine="482" w:firstLineChars="200"/>
        <w:jc w:val="left"/>
        <w:rPr>
          <w:rFonts w:hint="eastAsia" w:ascii="仿宋" w:hAnsi="仿宋" w:cs="仿宋"/>
          <w:b/>
          <w:sz w:val="24"/>
        </w:rPr>
      </w:pPr>
    </w:p>
    <w:p w14:paraId="61A35998">
      <w:pPr>
        <w:snapToGrid w:val="0"/>
        <w:spacing w:line="300" w:lineRule="auto"/>
        <w:ind w:firstLine="482" w:firstLineChars="200"/>
        <w:jc w:val="left"/>
        <w:rPr>
          <w:rFonts w:hint="eastAsia" w:ascii="仿宋" w:hAnsi="仿宋" w:cs="仿宋"/>
          <w:b/>
          <w:sz w:val="24"/>
        </w:rPr>
      </w:pPr>
    </w:p>
    <w:p w14:paraId="26C297A4">
      <w:pPr>
        <w:snapToGrid w:val="0"/>
        <w:spacing w:line="300" w:lineRule="auto"/>
        <w:ind w:firstLine="482" w:firstLineChars="200"/>
        <w:jc w:val="left"/>
        <w:rPr>
          <w:rFonts w:hint="eastAsia" w:ascii="仿宋" w:hAnsi="仿宋" w:cs="仿宋"/>
          <w:b/>
          <w:sz w:val="24"/>
        </w:rPr>
      </w:pPr>
    </w:p>
    <w:p w14:paraId="6BEDB5F7">
      <w:pPr>
        <w:snapToGrid w:val="0"/>
        <w:spacing w:line="300" w:lineRule="auto"/>
        <w:ind w:firstLine="482" w:firstLineChars="200"/>
        <w:jc w:val="left"/>
        <w:rPr>
          <w:rFonts w:hint="eastAsia" w:ascii="仿宋" w:hAnsi="仿宋" w:cs="仿宋"/>
          <w:b/>
          <w:sz w:val="24"/>
        </w:rPr>
      </w:pPr>
    </w:p>
    <w:p w14:paraId="7DD14E11">
      <w:pPr>
        <w:snapToGrid w:val="0"/>
        <w:spacing w:line="300" w:lineRule="auto"/>
        <w:ind w:firstLine="482" w:firstLineChars="200"/>
        <w:jc w:val="left"/>
        <w:rPr>
          <w:rFonts w:hint="eastAsia" w:ascii="仿宋" w:hAnsi="仿宋" w:cs="仿宋"/>
          <w:b/>
          <w:sz w:val="24"/>
        </w:rPr>
      </w:pPr>
    </w:p>
    <w:p w14:paraId="35D02EC3">
      <w:pPr>
        <w:snapToGrid w:val="0"/>
        <w:spacing w:line="300" w:lineRule="auto"/>
        <w:ind w:firstLine="482" w:firstLineChars="200"/>
        <w:jc w:val="left"/>
        <w:rPr>
          <w:rFonts w:hint="eastAsia" w:ascii="仿宋" w:hAnsi="仿宋" w:cs="仿宋"/>
          <w:b/>
          <w:sz w:val="24"/>
        </w:rPr>
      </w:pPr>
    </w:p>
    <w:p w14:paraId="19019B1B">
      <w:pPr>
        <w:snapToGrid w:val="0"/>
        <w:spacing w:line="300" w:lineRule="auto"/>
        <w:ind w:firstLine="482" w:firstLineChars="200"/>
        <w:jc w:val="left"/>
        <w:rPr>
          <w:rFonts w:hint="eastAsia" w:ascii="仿宋" w:hAnsi="仿宋" w:cs="仿宋"/>
          <w:b/>
          <w:sz w:val="24"/>
        </w:rPr>
      </w:pPr>
    </w:p>
    <w:p w14:paraId="1A1B2043">
      <w:pPr>
        <w:snapToGrid w:val="0"/>
        <w:spacing w:line="300" w:lineRule="auto"/>
        <w:ind w:firstLine="482" w:firstLineChars="200"/>
        <w:jc w:val="left"/>
        <w:rPr>
          <w:rFonts w:hint="eastAsia" w:ascii="仿宋" w:hAnsi="仿宋" w:cs="仿宋"/>
          <w:b/>
          <w:sz w:val="24"/>
        </w:rPr>
      </w:pPr>
    </w:p>
    <w:p w14:paraId="6B4F5184">
      <w:pPr>
        <w:snapToGrid w:val="0"/>
        <w:spacing w:line="300" w:lineRule="auto"/>
        <w:ind w:firstLine="482" w:firstLineChars="200"/>
        <w:jc w:val="left"/>
        <w:rPr>
          <w:rFonts w:hint="eastAsia" w:ascii="仿宋" w:hAnsi="仿宋" w:cs="仿宋"/>
          <w:b/>
          <w:sz w:val="24"/>
        </w:rPr>
      </w:pPr>
    </w:p>
    <w:p w14:paraId="017FEF66">
      <w:pPr>
        <w:snapToGrid w:val="0"/>
        <w:spacing w:line="300" w:lineRule="auto"/>
        <w:ind w:firstLine="482" w:firstLineChars="200"/>
        <w:jc w:val="left"/>
        <w:rPr>
          <w:rFonts w:hint="eastAsia" w:ascii="仿宋" w:hAnsi="仿宋" w:cs="仿宋"/>
          <w:b/>
          <w:sz w:val="24"/>
        </w:rPr>
      </w:pPr>
      <w:r>
        <w:rPr>
          <w:rFonts w:hint="eastAsia" w:ascii="宋体" w:hAnsi="宋体" w:cs="宋体"/>
          <w:b/>
          <w:sz w:val="24"/>
        </w:rPr>
        <w:t>委  托  方（以下简称甲方）：</w:t>
      </w:r>
      <w:r>
        <w:rPr>
          <w:rFonts w:hint="eastAsia" w:ascii="仿宋" w:hAnsi="仿宋" w:cs="仿宋"/>
          <w:bCs/>
          <w:sz w:val="24"/>
          <w:u w:val="single"/>
        </w:rPr>
        <w:t xml:space="preserve">    南京铁马信息技术有限公司 </w:t>
      </w:r>
      <w:r>
        <w:rPr>
          <w:rFonts w:hint="eastAsia" w:ascii="仿宋" w:hAnsi="仿宋" w:cs="仿宋"/>
          <w:sz w:val="24"/>
          <w:u w:val="single"/>
        </w:rPr>
        <w:t xml:space="preserve">   </w:t>
      </w:r>
    </w:p>
    <w:p w14:paraId="030CD0DF">
      <w:pPr>
        <w:snapToGrid w:val="0"/>
        <w:spacing w:line="300" w:lineRule="auto"/>
        <w:ind w:firstLine="480" w:firstLineChars="200"/>
        <w:jc w:val="left"/>
        <w:rPr>
          <w:rFonts w:hint="eastAsia" w:ascii="仿宋" w:hAnsi="仿宋" w:cs="仿宋"/>
          <w:sz w:val="24"/>
          <w:u w:val="single"/>
        </w:rPr>
      </w:pPr>
      <w:r>
        <w:rPr>
          <w:rFonts w:hint="eastAsia" w:ascii="仿宋" w:hAnsi="仿宋" w:cs="仿宋"/>
          <w:sz w:val="24"/>
        </w:rPr>
        <w:t>法定代表人（负责人）：</w:t>
      </w:r>
      <w:r>
        <w:rPr>
          <w:rFonts w:hint="eastAsia" w:ascii="仿宋" w:hAnsi="仿宋" w:cs="仿宋"/>
          <w:sz w:val="24"/>
          <w:u w:val="single"/>
        </w:rPr>
        <w:t xml:space="preserve">                                                     </w:t>
      </w:r>
    </w:p>
    <w:p w14:paraId="2A91807E">
      <w:pPr>
        <w:snapToGrid w:val="0"/>
        <w:spacing w:line="300" w:lineRule="auto"/>
        <w:ind w:firstLine="480" w:firstLineChars="200"/>
        <w:jc w:val="left"/>
        <w:rPr>
          <w:rFonts w:hint="eastAsia" w:ascii="仿宋" w:hAnsi="仿宋" w:cs="仿宋"/>
          <w:sz w:val="24"/>
        </w:rPr>
      </w:pPr>
    </w:p>
    <w:p w14:paraId="6B5E5332">
      <w:pPr>
        <w:spacing w:line="360" w:lineRule="auto"/>
        <w:ind w:firstLine="482" w:firstLineChars="200"/>
        <w:rPr>
          <w:rFonts w:hint="eastAsia" w:ascii="仿宋" w:hAnsi="仿宋" w:cs="仿宋"/>
          <w:b/>
          <w:bCs/>
          <w:sz w:val="24"/>
        </w:rPr>
      </w:pPr>
    </w:p>
    <w:p w14:paraId="4ACE3613">
      <w:pPr>
        <w:snapToGrid w:val="0"/>
        <w:spacing w:line="300" w:lineRule="auto"/>
        <w:ind w:firstLine="482" w:firstLineChars="200"/>
        <w:jc w:val="left"/>
        <w:rPr>
          <w:rFonts w:hint="eastAsia" w:ascii="仿宋" w:hAnsi="仿宋" w:cs="仿宋"/>
          <w:sz w:val="24"/>
          <w:u w:val="single"/>
        </w:rPr>
      </w:pPr>
      <w:r>
        <w:rPr>
          <w:rFonts w:hint="eastAsia" w:ascii="宋体" w:hAnsi="宋体" w:cs="宋体"/>
          <w:b/>
          <w:sz w:val="24"/>
        </w:rPr>
        <w:t>承  包  人（以下简称乙方）：</w:t>
      </w:r>
      <w:r>
        <w:rPr>
          <w:rFonts w:hint="eastAsia" w:ascii="仿宋" w:hAnsi="仿宋" w:cs="仿宋"/>
          <w:sz w:val="24"/>
          <w:u w:val="single"/>
        </w:rPr>
        <w:t xml:space="preserve">    </w:t>
      </w:r>
      <w:r>
        <w:rPr>
          <w:rFonts w:hint="eastAsia" w:ascii="仿宋" w:hAnsi="仿宋" w:cs="仿宋"/>
          <w:sz w:val="24"/>
          <w:u w:val="single"/>
          <w:lang w:val="en-US" w:eastAsia="zh-CN"/>
        </w:rPr>
        <w:t xml:space="preserve">                        </w:t>
      </w:r>
      <w:r>
        <w:rPr>
          <w:rFonts w:hint="eastAsia" w:ascii="仿宋" w:hAnsi="仿宋" w:cs="仿宋"/>
          <w:sz w:val="24"/>
          <w:u w:val="single"/>
        </w:rPr>
        <w:t xml:space="preserve">     </w:t>
      </w:r>
    </w:p>
    <w:p w14:paraId="4477722F">
      <w:pPr>
        <w:pStyle w:val="32"/>
        <w:spacing w:before="0" w:beforeAutospacing="0" w:after="0" w:afterAutospacing="0" w:line="300" w:lineRule="auto"/>
        <w:ind w:firstLine="480" w:firstLineChars="200"/>
        <w:jc w:val="both"/>
        <w:rPr>
          <w:rFonts w:hint="eastAsia" w:ascii="仿宋" w:hAnsi="仿宋" w:cs="仿宋"/>
        </w:rPr>
      </w:pPr>
      <w:r>
        <w:rPr>
          <w:rFonts w:hint="eastAsia" w:ascii="仿宋" w:hAnsi="仿宋" w:cs="仿宋"/>
        </w:rPr>
        <w:t>法定代表人（负责人）：</w:t>
      </w:r>
      <w:r>
        <w:rPr>
          <w:rFonts w:hint="eastAsia" w:ascii="仿宋" w:hAnsi="仿宋" w:cs="仿宋"/>
          <w:u w:val="single"/>
        </w:rPr>
        <w:t xml:space="preserve">                                                     </w:t>
      </w:r>
    </w:p>
    <w:p w14:paraId="2C87DB69">
      <w:pPr>
        <w:rPr>
          <w:rFonts w:hint="eastAsia" w:ascii="宋体" w:hAnsi="宋体" w:cs="宋体"/>
          <w:b/>
          <w:color w:val="000000"/>
          <w:sz w:val="48"/>
          <w:szCs w:val="48"/>
        </w:rPr>
      </w:pPr>
      <w:r>
        <w:rPr>
          <w:rFonts w:hint="eastAsia" w:ascii="宋体" w:hAnsi="宋体" w:cs="宋体"/>
          <w:b/>
          <w:color w:val="000000"/>
          <w:sz w:val="48"/>
          <w:szCs w:val="48"/>
        </w:rPr>
        <w:br w:type="page"/>
      </w:r>
    </w:p>
    <w:p w14:paraId="2546D6E8">
      <w:pPr>
        <w:pStyle w:val="32"/>
        <w:spacing w:before="0" w:beforeAutospacing="0" w:after="0" w:afterAutospacing="0" w:line="300" w:lineRule="auto"/>
        <w:ind w:firstLine="480" w:firstLineChars="200"/>
        <w:jc w:val="both"/>
        <w:rPr>
          <w:rFonts w:hint="eastAsia"/>
          <w:bCs/>
          <w:kern w:val="2"/>
        </w:rPr>
      </w:pPr>
      <w:r>
        <w:rPr>
          <w:rFonts w:hint="eastAsia"/>
          <w:bCs/>
          <w:kern w:val="2"/>
        </w:rPr>
        <w:t>依照《中华人民共和国民法典》、《中华人民共和国建筑法》及其他有关法律、行政法规，遵循平等、自愿、公平和诚实信用的原则，双方就本工程事项协商一致，订立本合同。</w:t>
      </w:r>
    </w:p>
    <w:p w14:paraId="5FCFE568">
      <w:pPr>
        <w:snapToGrid w:val="0"/>
        <w:spacing w:line="420" w:lineRule="exact"/>
        <w:ind w:firstLine="480"/>
        <w:rPr>
          <w:rFonts w:hint="eastAsia" w:ascii="宋体" w:hAnsi="宋体" w:cs="宋体"/>
          <w:bCs/>
          <w:sz w:val="24"/>
        </w:rPr>
      </w:pPr>
      <w:r>
        <w:rPr>
          <w:rFonts w:hint="eastAsia" w:ascii="宋体" w:hAnsi="宋体" w:cs="宋体"/>
          <w:bCs/>
          <w:sz w:val="24"/>
        </w:rPr>
        <w:t>一、合作概况</w:t>
      </w:r>
    </w:p>
    <w:p w14:paraId="7BC831FA">
      <w:pPr>
        <w:snapToGrid w:val="0"/>
        <w:spacing w:line="420" w:lineRule="exact"/>
        <w:ind w:firstLine="480"/>
        <w:rPr>
          <w:rFonts w:hint="eastAsia" w:ascii="宋体" w:hAnsi="宋体" w:cs="宋体"/>
          <w:bCs/>
          <w:sz w:val="24"/>
        </w:rPr>
      </w:pPr>
      <w:r>
        <w:rPr>
          <w:rFonts w:hint="eastAsia" w:ascii="宋体" w:hAnsi="宋体" w:cs="宋体"/>
          <w:bCs/>
          <w:sz w:val="24"/>
        </w:rPr>
        <w:t>1.服务内容</w:t>
      </w:r>
    </w:p>
    <w:p w14:paraId="289C32A8">
      <w:pPr>
        <w:snapToGrid w:val="0"/>
        <w:spacing w:line="420" w:lineRule="exact"/>
        <w:ind w:firstLine="480"/>
        <w:rPr>
          <w:rFonts w:hint="eastAsia" w:ascii="宋体" w:hAnsi="宋体" w:cs="宋体"/>
          <w:bCs/>
          <w:sz w:val="24"/>
        </w:rPr>
      </w:pPr>
      <w:r>
        <w:rPr>
          <w:rFonts w:hint="eastAsia" w:ascii="宋体" w:hAnsi="宋体" w:cs="宋体"/>
          <w:bCs/>
          <w:sz w:val="24"/>
        </w:rPr>
        <w:t>（1）甲方由于业务发展需要，委托乙方提供专用互联电路数据传输服务。乙方应当实现甲方指定地址间网络的有效连接。</w:t>
      </w:r>
    </w:p>
    <w:p w14:paraId="0B8FE13F">
      <w:pPr>
        <w:snapToGrid w:val="0"/>
        <w:spacing w:line="420" w:lineRule="exact"/>
        <w:ind w:firstLine="480"/>
        <w:rPr>
          <w:rFonts w:hint="eastAsia" w:ascii="宋体" w:hAnsi="宋体" w:cs="宋体"/>
          <w:bCs/>
          <w:sz w:val="24"/>
        </w:rPr>
      </w:pPr>
      <w:r>
        <w:rPr>
          <w:rFonts w:hint="eastAsia" w:ascii="宋体" w:hAnsi="宋体" w:cs="宋体"/>
          <w:bCs/>
          <w:sz w:val="24"/>
        </w:rPr>
        <w:t>（2）乙方同意为甲方提供符合其要求的互联网数据传输服务，包括但不限于【专用定制化电路测通、电路及电路相关设备的日常检查、检测、维护、修缮、保养以及其他线上或线下技术支持等服务】。</w:t>
      </w:r>
    </w:p>
    <w:p w14:paraId="0ED28962">
      <w:pPr>
        <w:snapToGrid w:val="0"/>
        <w:spacing w:line="420" w:lineRule="exact"/>
        <w:ind w:firstLine="480"/>
        <w:rPr>
          <w:rFonts w:hint="eastAsia" w:ascii="宋体" w:hAnsi="宋体" w:cs="宋体"/>
          <w:bCs/>
          <w:sz w:val="24"/>
        </w:rPr>
      </w:pPr>
      <w:r>
        <w:rPr>
          <w:rFonts w:hint="eastAsia" w:ascii="宋体" w:hAnsi="宋体" w:cs="宋体"/>
          <w:bCs/>
          <w:sz w:val="24"/>
        </w:rPr>
        <w:t>（3）提供数据传输服务的专用互联电路应当为甲方专用电路，与其它网络(互联网、其它专网)隔离。具体信息及技术要求详见第五章技术条款。</w:t>
      </w:r>
    </w:p>
    <w:p w14:paraId="4725E4F9">
      <w:pPr>
        <w:snapToGrid w:val="0"/>
        <w:spacing w:line="420" w:lineRule="exact"/>
        <w:ind w:firstLine="480"/>
        <w:rPr>
          <w:rFonts w:hint="eastAsia" w:ascii="宋体" w:hAnsi="宋体" w:cs="宋体"/>
          <w:bCs/>
          <w:sz w:val="24"/>
        </w:rPr>
      </w:pPr>
      <w:r>
        <w:rPr>
          <w:rFonts w:hint="eastAsia" w:ascii="宋体" w:hAnsi="宋体" w:cs="宋体"/>
          <w:bCs/>
          <w:sz w:val="24"/>
        </w:rPr>
        <w:t>（4）经乙方同意后，甲方有权要求更改专用互联电路所连接的园区，变更所需的费用由甲乙双方另行协商。</w:t>
      </w:r>
    </w:p>
    <w:p w14:paraId="43256A6F">
      <w:pPr>
        <w:snapToGrid w:val="0"/>
        <w:spacing w:line="420" w:lineRule="exact"/>
        <w:ind w:firstLine="480"/>
        <w:rPr>
          <w:rFonts w:hint="eastAsia" w:ascii="宋体" w:hAnsi="宋体" w:cs="宋体"/>
          <w:bCs/>
          <w:sz w:val="24"/>
        </w:rPr>
      </w:pPr>
      <w:r>
        <w:rPr>
          <w:rFonts w:hint="eastAsia" w:ascii="宋体" w:hAnsi="宋体" w:cs="宋体"/>
          <w:bCs/>
          <w:sz w:val="24"/>
        </w:rPr>
        <w:t>2.服务资质：</w:t>
      </w:r>
    </w:p>
    <w:p w14:paraId="2C7FE3DC">
      <w:pPr>
        <w:snapToGrid w:val="0"/>
        <w:spacing w:line="420" w:lineRule="exact"/>
        <w:ind w:firstLine="480"/>
        <w:rPr>
          <w:rFonts w:hint="eastAsia" w:ascii="宋体" w:hAnsi="宋体" w:cs="宋体"/>
          <w:bCs/>
          <w:sz w:val="24"/>
        </w:rPr>
      </w:pPr>
      <w:r>
        <w:rPr>
          <w:rFonts w:hint="eastAsia" w:ascii="宋体" w:hAnsi="宋体" w:cs="宋体"/>
          <w:bCs/>
          <w:sz w:val="24"/>
        </w:rPr>
        <w:t>乙方保证其提供服务的行为、提供的服务成果、服务质量以及乙方服务人员等均符合一切相关法律法规、国家标准、地方标准和行业标准的要求。乙方承诺其不存在超范围和/或超地域经营、无证经营等情况。乙方在本工作说明有效期内应始终持有有效的运营互联网数据传输及提供本工作说明下各项服务所必须的许可、证照、资质并维持其相关条件。乙方应按甲方要求形式提供相关资质证明或审批文件原件和/或复印件。</w:t>
      </w:r>
    </w:p>
    <w:p w14:paraId="40F3243D">
      <w:pPr>
        <w:snapToGrid w:val="0"/>
        <w:spacing w:line="420" w:lineRule="exact"/>
        <w:ind w:firstLine="480"/>
        <w:rPr>
          <w:rFonts w:hint="eastAsia" w:ascii="宋体" w:hAnsi="宋体" w:cs="宋体"/>
          <w:bCs/>
          <w:sz w:val="24"/>
        </w:rPr>
      </w:pPr>
      <w:r>
        <w:rPr>
          <w:rFonts w:hint="eastAsia" w:ascii="宋体" w:hAnsi="宋体" w:cs="宋体"/>
          <w:bCs/>
          <w:sz w:val="24"/>
        </w:rPr>
        <w:t>3.服务要求：</w:t>
      </w:r>
    </w:p>
    <w:p w14:paraId="2A7C8F18">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乙方进行的专用互联传输服务应当符合法律法规要求。在签署本协议之日并承诺在本协议有效期内具有合法有效的授权和资质。</w:t>
      </w:r>
    </w:p>
    <w:p w14:paraId="6947267F">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乙方负责向甲方提供定制化电路数据传输服务，应按照国家相关的技术规范要求，保证传输服务畅通，完成专用互联数据传输服务组网，且提供的服务应当满足甲方的要求，包括但不限于本协议</w:t>
      </w:r>
      <w:r>
        <w:rPr>
          <w:rFonts w:hint="eastAsia" w:ascii="宋体" w:hAnsi="宋体" w:cs="宋体"/>
          <w:bCs/>
          <w:sz w:val="24"/>
        </w:rPr>
        <w:t>第五章技术条款</w:t>
      </w:r>
      <w:r>
        <w:rPr>
          <w:rFonts w:ascii="宋体" w:hAnsi="宋体" w:cs="宋体"/>
          <w:bCs/>
          <w:sz w:val="24"/>
        </w:rPr>
        <w:t>。若本协议履行期间，国家颁布新的法律法规和服务标准且高于本协议项下双方约定的服务标准，则自新的法律法规和服务标准生效之日起按照新的法律法规和服务标准执行。</w:t>
      </w:r>
    </w:p>
    <w:p w14:paraId="6AA2AD3C">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乙方保证项目建设的安全性，不会造成甲方以及甲方用户的信息泄露或被攻击，并不得以任何形式泄露甲方或甲方用户信息。</w:t>
      </w:r>
    </w:p>
    <w:p w14:paraId="736A9BE1">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为了完成甲方在本协议中项目使用需求，乙方应按照双方约定的需求进行服务代采，乙方提供传输服务应符合甲方对性能和质量的需求。合作期间，甲方应配合乙方对设备进行管理，包括远程网管、固定资产年检和固定资产到期报废等工作。在本项目使用期限(包括续展期内)内，乙方不得以任何方式对设备所有权设定包括但不限于抵押、为第三方提供担保等担保物权、或向外出售，除非经甲方事先书面同意。乙方应以不低于适用的国家法律法规和国家标准对设备实施运营工作，以确保项目按照本协议及法律法规的规定正常使用。</w:t>
      </w:r>
    </w:p>
    <w:p w14:paraId="2F367EC4">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对提供给甲方使用的数据传输服务应依据相关规程和规范进行定期巡查、日常维护、修缮保养，保证甲方的项目安全运行及畅通、不中断，并自行承担相关费用。如遇服务不可用状态，应及时通知甲方并进行说明，同时，应第一时间进行抢修和恢复。</w:t>
      </w:r>
    </w:p>
    <w:p w14:paraId="721858EB">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根据运维要求进行检修、或进行设备搬迁、工程割接、网络及软件升级等可预见工作，并可能会影响到甲方所使用服务的正常提供时，应提前【七十二(72)】小时以书面及口头形式通知甲方并详细说明工作内容、工作期限、工作原因、可能对甲方造成的影响范围以及建议甲方处理措施，在甲方同意的工作时间和窗口进行操作并应保证尽合理努力减少、降低该等工作对甲方所使用服务的影响。</w:t>
      </w:r>
    </w:p>
    <w:p w14:paraId="3A0C7BFD">
      <w:pPr>
        <w:snapToGrid w:val="0"/>
        <w:spacing w:line="420" w:lineRule="exact"/>
        <w:ind w:firstLine="480"/>
        <w:rPr>
          <w:rFonts w:hint="eastAsia" w:ascii="宋体" w:hAnsi="宋体" w:cs="宋体"/>
          <w:bCs/>
          <w:sz w:val="24"/>
        </w:rPr>
      </w:pPr>
      <w:r>
        <w:rPr>
          <w:rFonts w:hint="eastAsia" w:ascii="宋体" w:hAnsi="宋体" w:cs="宋体"/>
          <w:bCs/>
          <w:sz w:val="24"/>
        </w:rPr>
        <w:t>二、合同总价</w:t>
      </w:r>
    </w:p>
    <w:p w14:paraId="602FD755">
      <w:pPr>
        <w:spacing w:line="560" w:lineRule="exact"/>
        <w:ind w:firstLine="480" w:firstLineChars="200"/>
        <w:rPr>
          <w:rFonts w:hint="eastAsia" w:ascii="宋体" w:hAnsi="宋体" w:cs="宋体"/>
          <w:bCs/>
          <w:sz w:val="24"/>
        </w:rPr>
      </w:pPr>
      <w:r>
        <w:rPr>
          <w:rFonts w:hint="eastAsia" w:ascii="宋体" w:hAnsi="宋体" w:cs="宋体"/>
          <w:sz w:val="24"/>
        </w:rPr>
        <w:t>本合同项目建设总价为：¥</w:t>
      </w:r>
      <w:r>
        <w:rPr>
          <w:rFonts w:hint="eastAsia" w:ascii="宋体" w:hAnsi="宋体" w:cs="宋体"/>
          <w:sz w:val="24"/>
          <w:u w:val="single"/>
        </w:rPr>
        <w:t>XXXX</w:t>
      </w:r>
      <w:r>
        <w:rPr>
          <w:rFonts w:hint="eastAsia" w:ascii="宋体" w:hAnsi="宋体" w:cs="宋体"/>
          <w:sz w:val="24"/>
        </w:rPr>
        <w:t>元，人民币（大写）：</w:t>
      </w:r>
      <w:r>
        <w:rPr>
          <w:rFonts w:hint="eastAsia" w:ascii="宋体" w:hAnsi="宋体" w:cs="宋体"/>
          <w:sz w:val="24"/>
          <w:u w:val="single"/>
        </w:rPr>
        <w:t>（XXXX）；税额：xxxx元；</w:t>
      </w:r>
      <w:r>
        <w:rPr>
          <w:rFonts w:hint="eastAsia" w:ascii="宋体" w:hAnsi="宋体" w:cs="宋体"/>
          <w:bCs/>
          <w:sz w:val="24"/>
        </w:rPr>
        <w:t>发票类型：</w:t>
      </w:r>
      <w:r>
        <w:rPr>
          <w:rFonts w:hint="eastAsia" w:ascii="宋体" w:hAnsi="宋体" w:cs="宋体"/>
          <w:bCs/>
          <w:sz w:val="24"/>
          <w:u w:val="single"/>
        </w:rPr>
        <w:t>增值税专用发票</w:t>
      </w:r>
      <w:r>
        <w:rPr>
          <w:rFonts w:hint="eastAsia" w:ascii="宋体" w:hAnsi="宋体" w:cs="宋体"/>
          <w:bCs/>
          <w:sz w:val="24"/>
          <w:u w:val="single"/>
          <w:lang w:eastAsia="zh-CN"/>
        </w:rPr>
        <w:t>（</w:t>
      </w:r>
      <w:r>
        <w:rPr>
          <w:rFonts w:hint="eastAsia" w:ascii="宋体" w:hAnsi="宋体" w:cs="宋体"/>
          <w:bCs/>
          <w:sz w:val="24"/>
          <w:u w:val="single"/>
          <w:lang w:val="en-US" w:eastAsia="zh-CN"/>
        </w:rPr>
        <w:t>税率6%）</w:t>
      </w:r>
      <w:r>
        <w:rPr>
          <w:rFonts w:hint="eastAsia" w:ascii="宋体" w:hAnsi="宋体" w:cs="宋体"/>
          <w:bCs/>
          <w:sz w:val="24"/>
        </w:rPr>
        <w:t>。</w:t>
      </w:r>
    </w:p>
    <w:p w14:paraId="7AD4DC22">
      <w:pPr>
        <w:spacing w:line="360" w:lineRule="auto"/>
        <w:ind w:firstLine="480" w:firstLineChars="200"/>
        <w:rPr>
          <w:rFonts w:hint="eastAsia" w:ascii="宋体" w:hAnsi="宋体" w:cs="宋体"/>
          <w:sz w:val="24"/>
        </w:rPr>
      </w:pPr>
      <w:r>
        <w:rPr>
          <w:rFonts w:hint="eastAsia" w:ascii="宋体" w:hAnsi="宋体" w:cs="宋体"/>
          <w:sz w:val="24"/>
        </w:rPr>
        <w:t>在合同履行过程中，如遇国家税率政策变更，对于合同未履行完毕的部分，在原标的不含税（单）价不变的基础上，按照新税率重新计算标的含税（单）价/合同总价，并且继续履行，后续不再另行签订补充协议。</w:t>
      </w:r>
    </w:p>
    <w:p w14:paraId="7707CE35">
      <w:pPr>
        <w:spacing w:line="360" w:lineRule="auto"/>
        <w:ind w:firstLine="480" w:firstLineChars="200"/>
        <w:rPr>
          <w:rFonts w:hint="eastAsia" w:ascii="宋体" w:hAnsi="宋体" w:cs="宋体"/>
          <w:sz w:val="24"/>
        </w:rPr>
      </w:pPr>
      <w:r>
        <w:rPr>
          <w:rFonts w:hint="eastAsia" w:ascii="宋体" w:hAnsi="宋体" w:cs="宋体"/>
          <w:sz w:val="24"/>
        </w:rPr>
        <w:t>除非另有规定，合同价款包括执行和完成合同所描述工作的全部费用，不论它们是否在合同文件中有所说明，亦不论它们是否在签订合同时是否可以预料到。</w:t>
      </w:r>
    </w:p>
    <w:p w14:paraId="1FE74940">
      <w:pPr>
        <w:spacing w:line="360" w:lineRule="auto"/>
        <w:ind w:firstLine="480" w:firstLineChars="200"/>
        <w:rPr>
          <w:rFonts w:hint="eastAsia" w:ascii="宋体" w:hAnsi="宋体" w:cs="宋体"/>
          <w:sz w:val="24"/>
        </w:rPr>
      </w:pPr>
      <w:r>
        <w:rPr>
          <w:rFonts w:hint="eastAsia" w:ascii="宋体" w:hAnsi="宋体" w:cs="宋体"/>
          <w:sz w:val="24"/>
        </w:rPr>
        <w:t>分项报价清单</w:t>
      </w:r>
    </w:p>
    <w:tbl>
      <w:tblPr>
        <w:tblStyle w:val="35"/>
        <w:tblW w:w="0" w:type="auto"/>
        <w:jc w:val="center"/>
        <w:tblLayout w:type="autofit"/>
        <w:tblCellMar>
          <w:top w:w="0" w:type="dxa"/>
          <w:left w:w="108" w:type="dxa"/>
          <w:bottom w:w="0" w:type="dxa"/>
          <w:right w:w="108" w:type="dxa"/>
        </w:tblCellMar>
      </w:tblPr>
      <w:tblGrid>
        <w:gridCol w:w="578"/>
        <w:gridCol w:w="1296"/>
        <w:gridCol w:w="1120"/>
        <w:gridCol w:w="939"/>
      </w:tblGrid>
      <w:tr w14:paraId="00270636">
        <w:tblPrEx>
          <w:tblCellMar>
            <w:top w:w="0" w:type="dxa"/>
            <w:left w:w="108" w:type="dxa"/>
            <w:bottom w:w="0" w:type="dxa"/>
            <w:right w:w="108" w:type="dxa"/>
          </w:tblCellMar>
        </w:tblPrEx>
        <w:trPr>
          <w:trHeight w:val="312"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2669E764">
            <w:pPr>
              <w:widowControl/>
              <w:jc w:val="center"/>
              <w:rPr>
                <w:rFonts w:hint="eastAsia" w:ascii="宋体" w:hAnsi="宋体" w:cs="Arial"/>
                <w:b/>
                <w:bCs/>
                <w:kern w:val="0"/>
                <w:sz w:val="18"/>
                <w:szCs w:val="18"/>
              </w:rPr>
            </w:pPr>
            <w:r>
              <w:rPr>
                <w:rFonts w:hint="eastAsia" w:ascii="宋体" w:hAnsi="宋体" w:cs="Arial"/>
                <w:b/>
                <w:bCs/>
                <w:kern w:val="0"/>
                <w:sz w:val="18"/>
                <w:szCs w:val="18"/>
              </w:rPr>
              <w:t>序号</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53A85D44">
            <w:pPr>
              <w:widowControl/>
              <w:jc w:val="center"/>
              <w:rPr>
                <w:rFonts w:hint="eastAsia" w:ascii="宋体" w:hAnsi="宋体" w:cs="Arial"/>
                <w:b/>
                <w:bCs/>
                <w:kern w:val="0"/>
                <w:sz w:val="18"/>
                <w:szCs w:val="18"/>
              </w:rPr>
            </w:pPr>
            <w:r>
              <w:rPr>
                <w:rFonts w:hint="eastAsia" w:ascii="宋体" w:hAnsi="宋体" w:cs="Arial"/>
                <w:b/>
                <w:bCs/>
                <w:kern w:val="0"/>
                <w:sz w:val="18"/>
                <w:szCs w:val="18"/>
              </w:rPr>
              <w:t>名称</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6F60CC2C">
            <w:pPr>
              <w:widowControl/>
              <w:jc w:val="center"/>
              <w:rPr>
                <w:rFonts w:hint="eastAsia" w:ascii="宋体" w:hAnsi="宋体" w:cs="Arial"/>
                <w:b/>
                <w:bCs/>
                <w:kern w:val="0"/>
                <w:sz w:val="18"/>
                <w:szCs w:val="18"/>
              </w:rPr>
            </w:pPr>
            <w:r>
              <w:rPr>
                <w:rFonts w:hint="eastAsia" w:ascii="宋体" w:hAnsi="宋体" w:cs="Arial"/>
                <w:b/>
                <w:bCs/>
                <w:kern w:val="0"/>
                <w:sz w:val="18"/>
                <w:szCs w:val="18"/>
              </w:rPr>
              <w:t>不含税总价</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7D59CB7B">
            <w:pPr>
              <w:widowControl/>
              <w:jc w:val="center"/>
              <w:rPr>
                <w:rFonts w:hint="eastAsia" w:ascii="宋体" w:hAnsi="宋体" w:cs="Arial"/>
                <w:b/>
                <w:bCs/>
                <w:kern w:val="0"/>
                <w:sz w:val="18"/>
                <w:szCs w:val="18"/>
              </w:rPr>
            </w:pPr>
            <w:r>
              <w:rPr>
                <w:rFonts w:hint="eastAsia" w:ascii="宋体" w:hAnsi="宋体" w:cs="Arial"/>
                <w:b/>
                <w:bCs/>
                <w:kern w:val="0"/>
                <w:sz w:val="18"/>
                <w:szCs w:val="18"/>
              </w:rPr>
              <w:t>含税总价</w:t>
            </w:r>
          </w:p>
        </w:tc>
      </w:tr>
      <w:tr w14:paraId="62414686">
        <w:tblPrEx>
          <w:tblCellMar>
            <w:top w:w="0" w:type="dxa"/>
            <w:left w:w="108" w:type="dxa"/>
            <w:bottom w:w="0" w:type="dxa"/>
            <w:right w:w="108" w:type="dxa"/>
          </w:tblCellMar>
        </w:tblPrEx>
        <w:trPr>
          <w:trHeight w:val="3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4950F7">
            <w:pPr>
              <w:widowControl/>
              <w:jc w:val="center"/>
              <w:rPr>
                <w:rFonts w:hint="eastAsia" w:ascii="宋体" w:hAnsi="宋体" w:cs="Arial"/>
                <w:b/>
                <w:bCs/>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A77BF3">
            <w:pPr>
              <w:widowControl/>
              <w:jc w:val="left"/>
              <w:rPr>
                <w:rFonts w:hint="eastAsia" w:ascii="宋体" w:hAnsi="宋体" w:cs="Arial"/>
                <w:b/>
                <w:bCs/>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5C2514">
            <w:pPr>
              <w:widowControl/>
              <w:jc w:val="left"/>
              <w:rPr>
                <w:rFonts w:hint="eastAsia" w:ascii="宋体" w:hAnsi="宋体" w:cs="Arial"/>
                <w:b/>
                <w:bCs/>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74A03D">
            <w:pPr>
              <w:widowControl/>
              <w:jc w:val="left"/>
              <w:rPr>
                <w:rFonts w:hint="eastAsia" w:ascii="宋体" w:hAnsi="宋体" w:cs="Arial"/>
                <w:b/>
                <w:bCs/>
                <w:kern w:val="0"/>
                <w:sz w:val="18"/>
                <w:szCs w:val="18"/>
              </w:rPr>
            </w:pPr>
          </w:p>
        </w:tc>
      </w:tr>
      <w:tr w14:paraId="1584C401">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5019E917">
            <w:pPr>
              <w:widowControl/>
              <w:jc w:val="center"/>
              <w:rPr>
                <w:rFonts w:hint="eastAsia" w:ascii="宋体" w:hAnsi="宋体" w:cs="Arial"/>
                <w:kern w:val="0"/>
                <w:sz w:val="18"/>
                <w:szCs w:val="18"/>
              </w:rPr>
            </w:pPr>
            <w:r>
              <w:rPr>
                <w:rFonts w:hint="eastAsia" w:ascii="宋体" w:hAnsi="宋体" w:cs="Arial"/>
                <w:kern w:val="0"/>
                <w:sz w:val="18"/>
                <w:szCs w:val="18"/>
              </w:rPr>
              <w:t>1</w:t>
            </w:r>
          </w:p>
        </w:tc>
        <w:tc>
          <w:tcPr>
            <w:tcW w:w="0" w:type="auto"/>
            <w:tcBorders>
              <w:top w:val="nil"/>
              <w:left w:val="nil"/>
              <w:bottom w:val="single" w:color="auto" w:sz="4" w:space="0"/>
              <w:right w:val="single" w:color="auto" w:sz="4" w:space="0"/>
            </w:tcBorders>
            <w:noWrap/>
            <w:vAlign w:val="center"/>
          </w:tcPr>
          <w:p w14:paraId="57F36B22">
            <w:pPr>
              <w:widowControl/>
              <w:jc w:val="left"/>
              <w:rPr>
                <w:rFonts w:hint="eastAsia" w:ascii="宋体" w:hAnsi="宋体" w:cs="Arial"/>
                <w:kern w:val="0"/>
                <w:sz w:val="18"/>
                <w:szCs w:val="18"/>
              </w:rPr>
            </w:pPr>
            <w:r>
              <w:rPr>
                <w:rFonts w:hint="eastAsia" w:ascii="宋体" w:hAnsi="宋体" w:cs="Arial"/>
                <w:kern w:val="0"/>
                <w:sz w:val="18"/>
                <w:szCs w:val="18"/>
              </w:rPr>
              <w:t>线路1</w:t>
            </w:r>
          </w:p>
        </w:tc>
        <w:tc>
          <w:tcPr>
            <w:tcW w:w="0" w:type="auto"/>
            <w:tcBorders>
              <w:top w:val="nil"/>
              <w:left w:val="nil"/>
              <w:bottom w:val="single" w:color="auto" w:sz="4" w:space="0"/>
              <w:right w:val="single" w:color="auto" w:sz="4" w:space="0"/>
            </w:tcBorders>
            <w:vAlign w:val="center"/>
          </w:tcPr>
          <w:p w14:paraId="62A3C315">
            <w:pPr>
              <w:widowControl/>
              <w:jc w:val="right"/>
              <w:rPr>
                <w:rFonts w:hint="eastAsia" w:ascii="宋体" w:hAnsi="宋体" w:cs="Arial"/>
                <w:kern w:val="0"/>
                <w:sz w:val="18"/>
                <w:szCs w:val="18"/>
              </w:rPr>
            </w:pPr>
            <w:r>
              <w:rPr>
                <w:rFonts w:hint="eastAsia" w:ascii="宋体" w:hAnsi="宋体" w:cs="Arial"/>
                <w:kern w:val="0"/>
                <w:sz w:val="18"/>
                <w:szCs w:val="18"/>
              </w:rPr>
              <w:t>XXXXX</w:t>
            </w:r>
          </w:p>
        </w:tc>
        <w:tc>
          <w:tcPr>
            <w:tcW w:w="0" w:type="auto"/>
            <w:tcBorders>
              <w:top w:val="nil"/>
              <w:left w:val="nil"/>
              <w:bottom w:val="single" w:color="auto" w:sz="4" w:space="0"/>
              <w:right w:val="single" w:color="auto" w:sz="4" w:space="0"/>
            </w:tcBorders>
            <w:noWrap/>
            <w:vAlign w:val="center"/>
          </w:tcPr>
          <w:p w14:paraId="494204A9">
            <w:pPr>
              <w:widowControl/>
              <w:jc w:val="right"/>
              <w:rPr>
                <w:rFonts w:hint="eastAsia" w:ascii="宋体" w:hAnsi="宋体" w:cs="Arial"/>
                <w:kern w:val="0"/>
                <w:sz w:val="18"/>
                <w:szCs w:val="18"/>
              </w:rPr>
            </w:pPr>
            <w:r>
              <w:rPr>
                <w:rFonts w:hint="eastAsia" w:ascii="宋体" w:hAnsi="宋体" w:cs="Arial"/>
                <w:kern w:val="0"/>
                <w:sz w:val="18"/>
                <w:szCs w:val="18"/>
              </w:rPr>
              <w:t>XXXXX</w:t>
            </w:r>
          </w:p>
        </w:tc>
      </w:tr>
      <w:tr w14:paraId="78FF9FB0">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nil"/>
              <w:right w:val="single" w:color="auto" w:sz="4" w:space="0"/>
            </w:tcBorders>
            <w:noWrap/>
            <w:vAlign w:val="center"/>
          </w:tcPr>
          <w:p w14:paraId="41478200">
            <w:pPr>
              <w:widowControl/>
              <w:jc w:val="center"/>
              <w:rPr>
                <w:rFonts w:hint="eastAsia" w:ascii="宋体" w:hAnsi="宋体" w:cs="Arial"/>
                <w:kern w:val="0"/>
                <w:sz w:val="18"/>
                <w:szCs w:val="18"/>
              </w:rPr>
            </w:pPr>
            <w:r>
              <w:rPr>
                <w:rFonts w:hint="eastAsia" w:ascii="宋体" w:hAnsi="宋体" w:cs="Arial"/>
                <w:kern w:val="0"/>
                <w:sz w:val="18"/>
                <w:szCs w:val="18"/>
              </w:rPr>
              <w:t>2</w:t>
            </w:r>
          </w:p>
        </w:tc>
        <w:tc>
          <w:tcPr>
            <w:tcW w:w="0" w:type="auto"/>
            <w:tcBorders>
              <w:top w:val="nil"/>
              <w:left w:val="nil"/>
              <w:bottom w:val="nil"/>
              <w:right w:val="single" w:color="auto" w:sz="4" w:space="0"/>
            </w:tcBorders>
            <w:noWrap/>
            <w:vAlign w:val="center"/>
          </w:tcPr>
          <w:p w14:paraId="2406E5F8">
            <w:pPr>
              <w:widowControl/>
              <w:jc w:val="left"/>
              <w:rPr>
                <w:rFonts w:hint="eastAsia" w:ascii="宋体" w:hAnsi="宋体" w:cs="Arial"/>
                <w:kern w:val="0"/>
                <w:sz w:val="18"/>
                <w:szCs w:val="18"/>
              </w:rPr>
            </w:pPr>
            <w:r>
              <w:rPr>
                <w:rFonts w:hint="eastAsia" w:ascii="宋体" w:hAnsi="宋体" w:cs="Arial"/>
                <w:kern w:val="0"/>
                <w:sz w:val="18"/>
                <w:szCs w:val="18"/>
              </w:rPr>
              <w:t>线路2</w:t>
            </w:r>
          </w:p>
        </w:tc>
        <w:tc>
          <w:tcPr>
            <w:tcW w:w="0" w:type="auto"/>
            <w:tcBorders>
              <w:top w:val="nil"/>
              <w:left w:val="nil"/>
              <w:bottom w:val="nil"/>
              <w:right w:val="single" w:color="auto" w:sz="4" w:space="0"/>
            </w:tcBorders>
            <w:vAlign w:val="center"/>
          </w:tcPr>
          <w:p w14:paraId="5AFE19DD">
            <w:pPr>
              <w:widowControl/>
              <w:jc w:val="right"/>
              <w:rPr>
                <w:rFonts w:hint="eastAsia" w:ascii="宋体" w:hAnsi="宋体" w:cs="Arial"/>
                <w:kern w:val="0"/>
                <w:sz w:val="18"/>
                <w:szCs w:val="18"/>
              </w:rPr>
            </w:pPr>
            <w:r>
              <w:rPr>
                <w:rFonts w:hint="eastAsia" w:ascii="宋体" w:hAnsi="宋体" w:cs="Arial"/>
                <w:kern w:val="0"/>
                <w:sz w:val="18"/>
                <w:szCs w:val="18"/>
              </w:rPr>
              <w:t>XXXXX</w:t>
            </w:r>
          </w:p>
        </w:tc>
        <w:tc>
          <w:tcPr>
            <w:tcW w:w="0" w:type="auto"/>
            <w:tcBorders>
              <w:top w:val="nil"/>
              <w:left w:val="nil"/>
              <w:bottom w:val="nil"/>
              <w:right w:val="single" w:color="auto" w:sz="4" w:space="0"/>
            </w:tcBorders>
            <w:noWrap/>
            <w:vAlign w:val="center"/>
          </w:tcPr>
          <w:p w14:paraId="2861750B">
            <w:pPr>
              <w:widowControl/>
              <w:jc w:val="right"/>
              <w:rPr>
                <w:rFonts w:hint="eastAsia" w:ascii="宋体" w:hAnsi="宋体" w:cs="Arial"/>
                <w:kern w:val="0"/>
                <w:sz w:val="18"/>
                <w:szCs w:val="18"/>
              </w:rPr>
            </w:pPr>
            <w:r>
              <w:rPr>
                <w:rFonts w:hint="eastAsia" w:ascii="宋体" w:hAnsi="宋体" w:cs="Arial"/>
                <w:kern w:val="0"/>
                <w:sz w:val="18"/>
                <w:szCs w:val="18"/>
              </w:rPr>
              <w:t>XXXXX</w:t>
            </w:r>
            <w:r>
              <w:rPr>
                <w:rFonts w:ascii="宋体" w:hAnsi="宋体" w:cs="Arial"/>
                <w:kern w:val="0"/>
                <w:sz w:val="18"/>
                <w:szCs w:val="18"/>
              </w:rPr>
              <w:t xml:space="preserve"> </w:t>
            </w:r>
          </w:p>
        </w:tc>
      </w:tr>
      <w:tr w14:paraId="30373117">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noWrap/>
            <w:vAlign w:val="center"/>
          </w:tcPr>
          <w:p w14:paraId="0F012A89">
            <w:pPr>
              <w:widowControl/>
              <w:jc w:val="center"/>
              <w:rPr>
                <w:rFonts w:hint="eastAsia" w:ascii="宋体" w:hAnsi="宋体" w:cs="Arial"/>
                <w:kern w:val="0"/>
                <w:sz w:val="18"/>
                <w:szCs w:val="18"/>
              </w:rPr>
            </w:pPr>
            <w:r>
              <w:rPr>
                <w:rFonts w:hint="eastAsia" w:ascii="宋体" w:hAnsi="宋体" w:cs="Arial"/>
                <w:kern w:val="0"/>
                <w:sz w:val="18"/>
                <w:szCs w:val="18"/>
              </w:rPr>
              <w:t>3</w:t>
            </w:r>
          </w:p>
        </w:tc>
        <w:tc>
          <w:tcPr>
            <w:tcW w:w="0" w:type="auto"/>
            <w:tcBorders>
              <w:top w:val="nil"/>
              <w:left w:val="nil"/>
              <w:bottom w:val="single" w:color="auto" w:sz="4" w:space="0"/>
              <w:right w:val="single" w:color="auto" w:sz="4" w:space="0"/>
            </w:tcBorders>
            <w:noWrap/>
            <w:vAlign w:val="center"/>
          </w:tcPr>
          <w:p w14:paraId="2F60D71E">
            <w:pPr>
              <w:widowControl/>
              <w:jc w:val="left"/>
              <w:rPr>
                <w:rFonts w:hint="eastAsia" w:ascii="宋体" w:hAnsi="宋体" w:cs="Arial"/>
                <w:kern w:val="0"/>
                <w:sz w:val="18"/>
                <w:szCs w:val="18"/>
              </w:rPr>
            </w:pPr>
            <w:r>
              <w:rPr>
                <w:rFonts w:hint="eastAsia" w:ascii="宋体" w:hAnsi="宋体" w:cs="Arial"/>
                <w:kern w:val="0"/>
                <w:sz w:val="18"/>
                <w:szCs w:val="18"/>
                <w:lang w:val="en-US" w:eastAsia="zh-CN"/>
              </w:rPr>
              <w:t>项目管理</w:t>
            </w:r>
            <w:r>
              <w:rPr>
                <w:rFonts w:hint="eastAsia" w:ascii="宋体" w:hAnsi="宋体" w:cs="Arial"/>
                <w:kern w:val="0"/>
                <w:sz w:val="18"/>
                <w:szCs w:val="18"/>
              </w:rPr>
              <w:t>平台</w:t>
            </w:r>
          </w:p>
        </w:tc>
        <w:tc>
          <w:tcPr>
            <w:tcW w:w="0" w:type="auto"/>
            <w:tcBorders>
              <w:top w:val="nil"/>
              <w:left w:val="nil"/>
              <w:bottom w:val="single" w:color="auto" w:sz="4" w:space="0"/>
              <w:right w:val="single" w:color="auto" w:sz="4" w:space="0"/>
            </w:tcBorders>
            <w:vAlign w:val="center"/>
          </w:tcPr>
          <w:p w14:paraId="417E5A68">
            <w:pPr>
              <w:widowControl/>
              <w:jc w:val="right"/>
              <w:rPr>
                <w:rFonts w:hint="eastAsia" w:ascii="宋体" w:hAnsi="宋体" w:cs="Arial"/>
                <w:kern w:val="0"/>
                <w:sz w:val="18"/>
                <w:szCs w:val="18"/>
              </w:rPr>
            </w:pPr>
            <w:r>
              <w:rPr>
                <w:rFonts w:hint="eastAsia" w:ascii="宋体" w:hAnsi="宋体" w:cs="Arial"/>
                <w:kern w:val="0"/>
                <w:sz w:val="18"/>
                <w:szCs w:val="18"/>
                <w:lang w:val="en-US" w:eastAsia="zh-CN"/>
              </w:rPr>
              <w:t>X</w:t>
            </w:r>
            <w:r>
              <w:rPr>
                <w:rFonts w:hint="eastAsia" w:ascii="宋体" w:hAnsi="宋体" w:cs="Arial"/>
                <w:kern w:val="0"/>
                <w:sz w:val="18"/>
                <w:szCs w:val="18"/>
              </w:rPr>
              <w:t>XXXX</w:t>
            </w:r>
          </w:p>
        </w:tc>
        <w:tc>
          <w:tcPr>
            <w:tcW w:w="0" w:type="auto"/>
            <w:tcBorders>
              <w:top w:val="nil"/>
              <w:left w:val="nil"/>
              <w:bottom w:val="single" w:color="auto" w:sz="4" w:space="0"/>
              <w:right w:val="single" w:color="auto" w:sz="4" w:space="0"/>
            </w:tcBorders>
            <w:noWrap/>
            <w:vAlign w:val="center"/>
          </w:tcPr>
          <w:p w14:paraId="2801F5BE">
            <w:pPr>
              <w:widowControl/>
              <w:jc w:val="right"/>
              <w:rPr>
                <w:rFonts w:hint="eastAsia" w:ascii="宋体" w:hAnsi="宋体" w:cs="Arial"/>
                <w:kern w:val="0"/>
                <w:sz w:val="18"/>
                <w:szCs w:val="18"/>
              </w:rPr>
            </w:pPr>
            <w:r>
              <w:rPr>
                <w:rFonts w:hint="eastAsia" w:ascii="宋体" w:hAnsi="宋体" w:cs="Arial"/>
                <w:kern w:val="0"/>
                <w:sz w:val="18"/>
                <w:szCs w:val="18"/>
                <w:lang w:val="en-US" w:eastAsia="zh-CN"/>
              </w:rPr>
              <w:t>X</w:t>
            </w:r>
            <w:r>
              <w:rPr>
                <w:rFonts w:hint="eastAsia" w:ascii="宋体" w:hAnsi="宋体" w:cs="Arial"/>
                <w:kern w:val="0"/>
                <w:sz w:val="18"/>
                <w:szCs w:val="18"/>
              </w:rPr>
              <w:t>XXXX</w:t>
            </w:r>
          </w:p>
        </w:tc>
      </w:tr>
    </w:tbl>
    <w:p w14:paraId="40C22857">
      <w:pPr>
        <w:spacing w:line="360" w:lineRule="auto"/>
        <w:rPr>
          <w:rFonts w:hint="eastAsia" w:ascii="宋体" w:hAnsi="宋体" w:cs="宋体"/>
          <w:sz w:val="24"/>
        </w:rPr>
      </w:pPr>
    </w:p>
    <w:p w14:paraId="716B3180">
      <w:pPr>
        <w:snapToGrid w:val="0"/>
        <w:spacing w:line="420" w:lineRule="exact"/>
        <w:ind w:firstLine="480"/>
        <w:rPr>
          <w:rFonts w:hint="eastAsia" w:ascii="宋体" w:hAnsi="宋体" w:cs="宋体"/>
          <w:bCs/>
          <w:sz w:val="24"/>
        </w:rPr>
      </w:pPr>
      <w:r>
        <w:rPr>
          <w:rFonts w:hint="eastAsia" w:ascii="宋体" w:hAnsi="宋体" w:cs="宋体"/>
          <w:bCs/>
          <w:sz w:val="24"/>
        </w:rPr>
        <w:t>三、付款方式</w:t>
      </w:r>
    </w:p>
    <w:p w14:paraId="2E063EFA">
      <w:pPr>
        <w:pStyle w:val="14"/>
        <w:overflowPunct w:val="0"/>
        <w:spacing w:line="440" w:lineRule="exact"/>
        <w:ind w:firstLine="367" w:firstLineChars="175"/>
        <w:rPr>
          <w:rFonts w:hint="eastAsia" w:hAnsi="宋体" w:cs="宋体"/>
        </w:rPr>
      </w:pPr>
      <w:r>
        <w:rPr>
          <w:rFonts w:hint="eastAsia" w:hAnsi="宋体" w:cs="宋体"/>
        </w:rPr>
        <w:t>1、本协议签署完成后且收到乙方对应金额发票后 20个工作日内,支付合同总价的20%费用即人民币【XXXX】(￥XXXX)，税率 XX%;</w:t>
      </w:r>
    </w:p>
    <w:p w14:paraId="41122A8F">
      <w:pPr>
        <w:pStyle w:val="14"/>
        <w:overflowPunct w:val="0"/>
        <w:spacing w:line="440" w:lineRule="exact"/>
        <w:ind w:firstLine="367" w:firstLineChars="175"/>
        <w:rPr>
          <w:rFonts w:hint="eastAsia" w:hAnsi="宋体" w:cs="宋体"/>
        </w:rPr>
      </w:pPr>
      <w:r>
        <w:rPr>
          <w:rFonts w:hint="eastAsia" w:hAnsi="宋体" w:cs="宋体"/>
        </w:rPr>
        <w:t>资源交付验收后且收到乙方对应金额发票后 20 个工作日内支付合同总价的40%费用即人民币【XXXXX(￥XXXXX，税率 XXXX%;</w:t>
      </w:r>
    </w:p>
    <w:p w14:paraId="4AE1B3B2">
      <w:pPr>
        <w:pStyle w:val="14"/>
        <w:overflowPunct w:val="0"/>
        <w:spacing w:line="440" w:lineRule="exact"/>
        <w:ind w:firstLine="367" w:firstLineChars="175"/>
        <w:rPr>
          <w:rFonts w:hint="eastAsia" w:hAnsi="宋体" w:cs="宋体"/>
        </w:rPr>
      </w:pPr>
      <w:r>
        <w:rPr>
          <w:rFonts w:hint="eastAsia" w:hAnsi="宋体" w:cs="宋体"/>
        </w:rPr>
        <w:t>技术指标达标验收通过后且收到乙方对应金额发票后 20 个工作日内支付合同总价的30%费用即人民币【 xxxx(￥XXXX)，税率 XXXX%:</w:t>
      </w:r>
    </w:p>
    <w:p w14:paraId="3FED5D57">
      <w:pPr>
        <w:pStyle w:val="14"/>
        <w:overflowPunct w:val="0"/>
        <w:spacing w:line="440" w:lineRule="exact"/>
        <w:ind w:firstLine="367" w:firstLineChars="175"/>
        <w:rPr>
          <w:rFonts w:hint="eastAsia" w:hAnsi="宋体" w:cs="宋体"/>
        </w:rPr>
      </w:pPr>
      <w:r>
        <w:rPr>
          <w:rFonts w:hint="eastAsia" w:hAnsi="宋体" w:cs="宋体"/>
        </w:rPr>
        <w:t>正式交付后1年经甲方验收通过且收到乙方对应金额发票后 20 个工作日内支付合同总价的 10%费用即人民币【XXXX(￥ XXXX)，税率 XXXX%办理支付前，乙方提交支付申请并提供相应的增值税发票，否则，甲方有权拒绝付款，且不承担违约责任。</w:t>
      </w:r>
    </w:p>
    <w:p w14:paraId="2EAF20A4">
      <w:pPr>
        <w:pStyle w:val="14"/>
        <w:overflowPunct w:val="0"/>
        <w:spacing w:line="440" w:lineRule="exact"/>
        <w:ind w:firstLine="367" w:firstLineChars="175"/>
        <w:rPr>
          <w:rFonts w:hint="eastAsia" w:hAnsi="宋体" w:cs="宋体"/>
        </w:rPr>
      </w:pPr>
      <w:r>
        <w:rPr>
          <w:rFonts w:hint="eastAsia" w:hAnsi="宋体" w:cs="宋体"/>
        </w:rPr>
        <w:t>2、甲方开户银行及账号：</w:t>
      </w:r>
    </w:p>
    <w:p w14:paraId="3E74BF29">
      <w:pPr>
        <w:pStyle w:val="14"/>
        <w:overflowPunct w:val="0"/>
        <w:spacing w:line="440" w:lineRule="exact"/>
        <w:ind w:firstLine="367" w:firstLineChars="175"/>
        <w:rPr>
          <w:rFonts w:hint="eastAsia" w:hAnsi="宋体" w:cs="宋体"/>
        </w:rPr>
      </w:pPr>
      <w:r>
        <w:rPr>
          <w:rFonts w:hint="eastAsia" w:hAnsi="宋体" w:cs="宋体"/>
        </w:rPr>
        <w:t>账户名称：XXXX</w:t>
      </w:r>
    </w:p>
    <w:p w14:paraId="588D5D11">
      <w:pPr>
        <w:pStyle w:val="14"/>
        <w:overflowPunct w:val="0"/>
        <w:spacing w:line="440" w:lineRule="exact"/>
        <w:ind w:firstLine="367" w:firstLineChars="175"/>
        <w:rPr>
          <w:rFonts w:hint="eastAsia" w:hAnsi="宋体" w:cs="宋体"/>
        </w:rPr>
      </w:pPr>
      <w:r>
        <w:rPr>
          <w:rFonts w:hint="eastAsia" w:hAnsi="宋体" w:cs="宋体"/>
        </w:rPr>
        <w:t>开户行：XXXX</w:t>
      </w:r>
    </w:p>
    <w:p w14:paraId="12360918">
      <w:pPr>
        <w:pStyle w:val="14"/>
        <w:overflowPunct w:val="0"/>
        <w:spacing w:line="440" w:lineRule="exact"/>
        <w:ind w:firstLine="367" w:firstLineChars="175"/>
        <w:rPr>
          <w:rFonts w:hint="eastAsia" w:hAnsi="宋体" w:cs="宋体"/>
        </w:rPr>
      </w:pPr>
      <w:r>
        <w:rPr>
          <w:rFonts w:hint="eastAsia" w:hAnsi="宋体" w:cs="宋体"/>
        </w:rPr>
        <w:t>账号：XXXX</w:t>
      </w:r>
    </w:p>
    <w:p w14:paraId="62C15CBA">
      <w:pPr>
        <w:pStyle w:val="14"/>
        <w:overflowPunct w:val="0"/>
        <w:spacing w:line="440" w:lineRule="exact"/>
        <w:ind w:firstLine="367" w:firstLineChars="175"/>
        <w:rPr>
          <w:rFonts w:hint="eastAsia" w:hAnsi="宋体" w:cs="宋体"/>
        </w:rPr>
      </w:pPr>
      <w:r>
        <w:rPr>
          <w:rFonts w:hint="eastAsia" w:hAnsi="宋体" w:cs="宋体"/>
        </w:rPr>
        <w:t>联行号：XXXXX</w:t>
      </w:r>
    </w:p>
    <w:p w14:paraId="776A74CB">
      <w:pPr>
        <w:pStyle w:val="14"/>
        <w:overflowPunct w:val="0"/>
        <w:spacing w:line="440" w:lineRule="exact"/>
        <w:ind w:firstLine="367" w:firstLineChars="175"/>
        <w:rPr>
          <w:rFonts w:hint="eastAsia" w:hAnsi="宋体" w:cs="宋体"/>
        </w:rPr>
      </w:pPr>
      <w:r>
        <w:rPr>
          <w:rFonts w:hint="eastAsia" w:hAnsi="宋体" w:cs="宋体"/>
        </w:rPr>
        <w:t>3、乙方开户银行及账号：</w:t>
      </w:r>
    </w:p>
    <w:p w14:paraId="08B17EA0">
      <w:pPr>
        <w:pStyle w:val="14"/>
        <w:overflowPunct w:val="0"/>
        <w:spacing w:line="440" w:lineRule="exact"/>
        <w:rPr>
          <w:rFonts w:hint="default" w:hAnsi="宋体" w:eastAsia="宋体" w:cs="宋体"/>
          <w:lang w:val="en-US" w:eastAsia="zh-CN"/>
        </w:rPr>
      </w:pPr>
      <w:r>
        <w:rPr>
          <w:rFonts w:hint="eastAsia" w:hAnsi="宋体" w:cs="宋体"/>
        </w:rPr>
        <w:t>账户名称：</w:t>
      </w:r>
      <w:r>
        <w:rPr>
          <w:rFonts w:hint="eastAsia" w:hAnsi="宋体" w:cs="宋体"/>
          <w:lang w:val="en-US" w:eastAsia="zh-CN"/>
        </w:rPr>
        <w:t>XXXX</w:t>
      </w:r>
    </w:p>
    <w:p w14:paraId="037BBAD0">
      <w:pPr>
        <w:pStyle w:val="14"/>
        <w:overflowPunct w:val="0"/>
        <w:spacing w:line="440" w:lineRule="exact"/>
        <w:rPr>
          <w:rFonts w:hint="default" w:hAnsi="宋体" w:eastAsia="宋体" w:cs="宋体"/>
          <w:lang w:val="en-US" w:eastAsia="zh-CN"/>
        </w:rPr>
      </w:pPr>
      <w:r>
        <w:rPr>
          <w:rFonts w:hint="eastAsia" w:hAnsi="宋体" w:cs="宋体"/>
        </w:rPr>
        <w:t>开户行：</w:t>
      </w:r>
      <w:r>
        <w:rPr>
          <w:rFonts w:hint="eastAsia" w:hAnsi="宋体" w:cs="宋体"/>
          <w:lang w:val="en-US" w:eastAsia="zh-CN"/>
        </w:rPr>
        <w:t>XXXX</w:t>
      </w:r>
    </w:p>
    <w:p w14:paraId="4167EC71">
      <w:pPr>
        <w:pStyle w:val="14"/>
        <w:overflowPunct w:val="0"/>
        <w:spacing w:line="440" w:lineRule="exact"/>
        <w:rPr>
          <w:rFonts w:hint="default" w:hAnsi="宋体" w:eastAsia="宋体" w:cs="宋体"/>
          <w:lang w:val="en-US" w:eastAsia="zh-CN"/>
        </w:rPr>
      </w:pPr>
      <w:r>
        <w:rPr>
          <w:rFonts w:hint="eastAsia" w:hAnsi="宋体" w:cs="宋体"/>
        </w:rPr>
        <w:t>账号：</w:t>
      </w:r>
      <w:r>
        <w:rPr>
          <w:rFonts w:hint="eastAsia" w:hAnsi="宋体" w:cs="宋体"/>
          <w:lang w:val="en-US" w:eastAsia="zh-CN"/>
        </w:rPr>
        <w:t>XXXX</w:t>
      </w:r>
    </w:p>
    <w:p w14:paraId="40CECC25">
      <w:pPr>
        <w:pStyle w:val="14"/>
        <w:overflowPunct w:val="0"/>
        <w:spacing w:line="440" w:lineRule="exact"/>
        <w:rPr>
          <w:rFonts w:hint="default" w:ascii="宋体" w:hAnsi="宋体" w:eastAsia="宋体" w:cs="宋体"/>
          <w:sz w:val="24"/>
          <w:lang w:val="en-US" w:eastAsia="zh-CN"/>
        </w:rPr>
      </w:pPr>
      <w:r>
        <w:rPr>
          <w:rFonts w:hint="eastAsia" w:hAnsi="宋体" w:cs="宋体"/>
        </w:rPr>
        <w:t>联行号：</w:t>
      </w:r>
      <w:r>
        <w:rPr>
          <w:rFonts w:hint="eastAsia" w:hAnsi="宋体" w:cs="宋体"/>
          <w:lang w:val="en-US" w:eastAsia="zh-CN"/>
        </w:rPr>
        <w:t>XXXX</w:t>
      </w:r>
    </w:p>
    <w:p w14:paraId="42504720">
      <w:pPr>
        <w:snapToGrid w:val="0"/>
        <w:spacing w:line="420" w:lineRule="exact"/>
        <w:ind w:firstLine="480"/>
        <w:rPr>
          <w:rFonts w:hint="eastAsia" w:ascii="宋体" w:hAnsi="宋体" w:cs="宋体"/>
          <w:bCs/>
          <w:sz w:val="24"/>
        </w:rPr>
      </w:pPr>
      <w:r>
        <w:rPr>
          <w:rFonts w:hint="eastAsia" w:ascii="宋体" w:hAnsi="宋体" w:cs="宋体"/>
          <w:bCs/>
          <w:sz w:val="24"/>
        </w:rPr>
        <w:t>四、项目完成时间</w:t>
      </w:r>
    </w:p>
    <w:p w14:paraId="10E932BC">
      <w:pPr>
        <w:snapToGrid w:val="0"/>
        <w:spacing w:line="440" w:lineRule="exact"/>
        <w:ind w:firstLine="480"/>
        <w:rPr>
          <w:rFonts w:hint="eastAsia" w:ascii="宋体" w:hAnsi="宋体" w:cs="宋体"/>
          <w:sz w:val="24"/>
        </w:rPr>
      </w:pPr>
      <w:r>
        <w:rPr>
          <w:rFonts w:hint="eastAsia" w:ascii="宋体" w:hAnsi="宋体" w:cs="宋体"/>
          <w:sz w:val="24"/>
        </w:rPr>
        <w:t>1、整体交付周期3个月</w:t>
      </w:r>
    </w:p>
    <w:p w14:paraId="3C331EF3">
      <w:pPr>
        <w:snapToGrid w:val="0"/>
        <w:spacing w:line="440" w:lineRule="exact"/>
        <w:ind w:firstLine="480"/>
        <w:rPr>
          <w:rFonts w:hint="eastAsia" w:hAnsi="宋体" w:cs="宋体"/>
          <w:highlight w:val="green"/>
        </w:rPr>
      </w:pPr>
      <w:r>
        <w:rPr>
          <w:rFonts w:hint="eastAsia" w:ascii="宋体" w:hAnsi="宋体" w:cs="宋体"/>
          <w:sz w:val="24"/>
        </w:rPr>
        <w:t>2、因非乙方原因（包括但不限于甲方原因、现场不具备施工条件或者恶劣天气、影响公共卫生的传染性疾病等原因）工期如要适当顺延，应由乙方及时办理工期顺延的手续(提请甲方书面确认)后才能适当顺延工期，在此情况下，乙方应于3日内提出工期顺延的申请，甲方同意延期的（如甲方在3天之内未予答复，则视为同意乙方的工期顺延请求），则乙方无需承担任何责任。如果乙方未在规定时间内提出工期顺延的申请，视为乙方放弃工期顺延的权利。</w:t>
      </w:r>
    </w:p>
    <w:p w14:paraId="4ADCF95F">
      <w:pPr>
        <w:snapToGrid w:val="0"/>
        <w:spacing w:line="420" w:lineRule="exact"/>
        <w:ind w:firstLine="480"/>
        <w:rPr>
          <w:rFonts w:hint="eastAsia" w:ascii="宋体" w:hAnsi="宋体" w:cs="宋体"/>
          <w:bCs/>
          <w:sz w:val="24"/>
        </w:rPr>
      </w:pPr>
      <w:r>
        <w:rPr>
          <w:rFonts w:hint="eastAsia" w:ascii="宋体" w:hAnsi="宋体" w:cs="宋体"/>
          <w:bCs/>
          <w:sz w:val="24"/>
        </w:rPr>
        <w:t>五、技术条款</w:t>
      </w:r>
    </w:p>
    <w:p w14:paraId="0F577B92">
      <w:pPr>
        <w:spacing w:line="440" w:lineRule="exact"/>
        <w:ind w:firstLine="480" w:firstLineChars="200"/>
        <w:rPr>
          <w:rFonts w:hint="eastAsia" w:ascii="宋体" w:hAnsi="宋体" w:cs="宋体"/>
          <w:sz w:val="24"/>
        </w:rPr>
      </w:pPr>
      <w:r>
        <w:rPr>
          <w:rFonts w:hint="eastAsia" w:ascii="宋体" w:hAnsi="宋体" w:cs="宋体"/>
          <w:sz w:val="24"/>
        </w:rPr>
        <w:t>本项目计划在张家港乐余--仪征经开之间建设大芯数互联定制化电路本技术规范书将明确路由整体走向规划、线路稳定性要求、中继站技术要求等。明确投标人应提供的相关技术资料，通过线路商对本次项目所需光缆线路资源信息反馈，能够直观的获取到缆商线路全程路由走向、路由概览，中继站位置和基础设施信息，园区入局对接方案，线路敷设方式，线路沿途走向，线路长度以及每段线路的衰耗，进行整体方案建设的评估，选取满足本项目要求的线路资源。</w:t>
      </w:r>
    </w:p>
    <w:p w14:paraId="77D0018C">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路由技术规划方案</w:t>
      </w:r>
    </w:p>
    <w:p w14:paraId="70D80BEA">
      <w:pPr>
        <w:spacing w:line="440" w:lineRule="exact"/>
        <w:rPr>
          <w:rFonts w:hint="eastAsia" w:ascii="宋体" w:hAnsi="宋体" w:cs="宋体"/>
          <w:sz w:val="24"/>
        </w:rPr>
      </w:pPr>
      <w:r>
        <w:rPr>
          <w:rFonts w:hint="eastAsia" w:ascii="宋体" w:hAnsi="宋体" w:cs="宋体"/>
          <w:sz w:val="24"/>
        </w:rPr>
        <w:t>端站机房位置：</w:t>
      </w:r>
    </w:p>
    <w:p w14:paraId="4C874441">
      <w:pPr>
        <w:spacing w:line="440" w:lineRule="exact"/>
        <w:rPr>
          <w:rFonts w:hint="eastAsia" w:ascii="宋体" w:hAnsi="宋体" w:cs="宋体"/>
          <w:sz w:val="24"/>
        </w:rPr>
      </w:pPr>
      <w:r>
        <w:rPr>
          <w:rFonts w:hint="eastAsia" w:ascii="宋体" w:hAnsi="宋体" w:cs="宋体"/>
          <w:sz w:val="24"/>
        </w:rPr>
        <w:t>机房1名称：江苏张家港乐余机房</w:t>
      </w:r>
    </w:p>
    <w:p w14:paraId="69417CBF">
      <w:pPr>
        <w:spacing w:line="440" w:lineRule="exact"/>
        <w:rPr>
          <w:rFonts w:hint="eastAsia" w:ascii="宋体" w:hAnsi="宋体" w:cs="宋体"/>
          <w:sz w:val="24"/>
        </w:rPr>
      </w:pPr>
      <w:r>
        <w:rPr>
          <w:rFonts w:hint="eastAsia" w:ascii="宋体" w:hAnsi="宋体" w:cs="宋体"/>
          <w:sz w:val="24"/>
        </w:rPr>
        <w:t>地址：中国大陆-江苏省-苏州市-张家港市-江苏省苏州市张家港市乐余镇乐塘线与雁庙线路交叉口东北侧</w:t>
      </w:r>
    </w:p>
    <w:p w14:paraId="7D30278E">
      <w:pPr>
        <w:spacing w:line="440" w:lineRule="exact"/>
        <w:rPr>
          <w:rFonts w:hint="eastAsia" w:ascii="宋体" w:hAnsi="宋体" w:cs="宋体"/>
          <w:sz w:val="24"/>
        </w:rPr>
      </w:pPr>
      <w:r>
        <w:rPr>
          <w:rFonts w:hint="eastAsia" w:ascii="宋体" w:hAnsi="宋体" w:cs="宋体"/>
          <w:sz w:val="24"/>
        </w:rPr>
        <w:t>机房2名称：江苏仪征经开机房</w:t>
      </w:r>
    </w:p>
    <w:p w14:paraId="1C0108E6">
      <w:pPr>
        <w:spacing w:line="440" w:lineRule="exact"/>
        <w:rPr>
          <w:rFonts w:hint="eastAsia" w:ascii="宋体" w:hAnsi="宋体" w:cs="宋体"/>
          <w:sz w:val="24"/>
        </w:rPr>
      </w:pPr>
      <w:r>
        <w:rPr>
          <w:rFonts w:hint="eastAsia" w:ascii="宋体" w:hAnsi="宋体" w:cs="宋体"/>
          <w:sz w:val="24"/>
        </w:rPr>
        <w:t>地址：中国大陆-江苏省-扬州市-仪征市-江苏省扬州市仪征市景怡路与科研一路交叉口</w:t>
      </w:r>
    </w:p>
    <w:p w14:paraId="4C5F0DF8">
      <w:pPr>
        <w:spacing w:line="440" w:lineRule="exact"/>
        <w:rPr>
          <w:rFonts w:hint="eastAsia" w:ascii="宋体" w:hAnsi="宋体" w:cs="宋体"/>
          <w:sz w:val="24"/>
        </w:rPr>
      </w:pPr>
      <w:r>
        <w:rPr>
          <w:rFonts w:hint="eastAsia" w:ascii="宋体" w:hAnsi="宋体" w:cs="宋体"/>
          <w:sz w:val="24"/>
        </w:rPr>
        <w:t>当前在用路由文字描述：</w:t>
      </w:r>
    </w:p>
    <w:p w14:paraId="7D489057">
      <w:pPr>
        <w:spacing w:line="440" w:lineRule="exact"/>
        <w:rPr>
          <w:rFonts w:hint="eastAsia" w:ascii="宋体" w:hAnsi="宋体" w:cs="宋体"/>
          <w:sz w:val="24"/>
        </w:rPr>
      </w:pPr>
      <w:r>
        <w:rPr>
          <w:rFonts w:hint="eastAsia" w:ascii="宋体" w:hAnsi="宋体" w:cs="宋体"/>
          <w:sz w:val="24"/>
        </w:rPr>
        <w:t>当前在用路由一:张家港乐余机房--X202--S604(港丰公路)--S228(杨锦公路+东二环路)--S340(南二环路)--S442(金港大道)--S340--凤翔快速路-- G42--扬溧高速--S356 沿江公路--科研二路--景观路--仪征经开机房</w:t>
      </w:r>
    </w:p>
    <w:p w14:paraId="27F145A7">
      <w:pPr>
        <w:spacing w:line="440" w:lineRule="exact"/>
        <w:rPr>
          <w:rFonts w:hint="eastAsia" w:ascii="宋体" w:hAnsi="宋体" w:cs="宋体"/>
          <w:sz w:val="24"/>
        </w:rPr>
      </w:pPr>
      <w:r>
        <w:rPr>
          <w:rFonts w:hint="eastAsia" w:ascii="宋体" w:hAnsi="宋体" w:cs="宋体"/>
          <w:sz w:val="24"/>
        </w:rPr>
        <w:t>当前在用路由二:张家港乐余机房--X202--三兴收费站--通锡高速--G40--X202 大新线/科研二路--联众路--宝昌路--G328 宁海线--闽泰大道--仪征经开机房</w:t>
      </w:r>
    </w:p>
    <w:p w14:paraId="162A246E">
      <w:pPr>
        <w:spacing w:line="440" w:lineRule="exact"/>
        <w:rPr>
          <w:rFonts w:hint="eastAsia" w:ascii="宋体" w:hAnsi="宋体" w:cs="宋体"/>
          <w:sz w:val="24"/>
        </w:rPr>
      </w:pPr>
      <w:r>
        <w:rPr>
          <w:rFonts w:hint="eastAsia" w:ascii="宋体" w:hAnsi="宋体" w:cs="宋体"/>
          <w:sz w:val="24"/>
        </w:rPr>
        <w:t>根据业务需求，江苏张家港乐余--江苏仪征经开新增2条路由，不能经过苏通大桥和沪苏通大桥，且需与上面两条在用路由无交叉无重叠</w:t>
      </w:r>
    </w:p>
    <w:p w14:paraId="25D8C44A">
      <w:pPr>
        <w:numPr>
          <w:ilvl w:val="0"/>
          <w:numId w:val="5"/>
        </w:numPr>
        <w:spacing w:line="440" w:lineRule="exact"/>
        <w:rPr>
          <w:rFonts w:hint="eastAsia" w:ascii="宋体" w:hAnsi="宋体" w:cs="宋体"/>
          <w:sz w:val="24"/>
        </w:rPr>
      </w:pPr>
      <w:r>
        <w:rPr>
          <w:rFonts w:hint="eastAsia" w:ascii="宋体" w:hAnsi="宋体" w:cs="宋体"/>
          <w:sz w:val="24"/>
        </w:rPr>
        <w:t>全程端到端新增2条路由，2条路由之间均无交叉无重叠。且这两条路由与当前在用的两条路由也要做到无交叉无重叠。</w:t>
      </w:r>
    </w:p>
    <w:p w14:paraId="6D1BD39A">
      <w:pPr>
        <w:numPr>
          <w:ilvl w:val="0"/>
          <w:numId w:val="5"/>
        </w:numPr>
        <w:spacing w:line="440" w:lineRule="exact"/>
        <w:rPr>
          <w:rFonts w:hint="eastAsia" w:ascii="宋体" w:hAnsi="宋体" w:cs="宋体"/>
          <w:sz w:val="24"/>
        </w:rPr>
      </w:pPr>
      <w:r>
        <w:rPr>
          <w:rFonts w:hint="eastAsia" w:ascii="宋体" w:hAnsi="宋体" w:cs="宋体"/>
          <w:sz w:val="24"/>
        </w:rPr>
        <w:t>每条路由光缆端到端总长度均不超过 270km。</w:t>
      </w:r>
    </w:p>
    <w:p w14:paraId="51E1E6D7">
      <w:pPr>
        <w:numPr>
          <w:ilvl w:val="0"/>
          <w:numId w:val="5"/>
        </w:numPr>
        <w:spacing w:line="440" w:lineRule="exact"/>
        <w:rPr>
          <w:rFonts w:hint="eastAsia" w:ascii="宋体" w:hAnsi="宋体" w:cs="宋体"/>
          <w:sz w:val="24"/>
        </w:rPr>
      </w:pPr>
      <w:r>
        <w:rPr>
          <w:rFonts w:hint="eastAsia" w:ascii="宋体" w:hAnsi="宋体" w:cs="宋体"/>
          <w:sz w:val="24"/>
        </w:rPr>
        <w:t>每条路由的中继站数量均不得超过3个，中继站的位置应保证每跨光缆长度不得超过 80km，保证每跨光缆衰耗不大于18.6db。</w:t>
      </w:r>
    </w:p>
    <w:p w14:paraId="6285EB7B">
      <w:pPr>
        <w:numPr>
          <w:ilvl w:val="0"/>
          <w:numId w:val="5"/>
        </w:numPr>
        <w:spacing w:line="440" w:lineRule="exact"/>
        <w:rPr>
          <w:rFonts w:hint="eastAsia" w:ascii="宋体" w:hAnsi="宋体" w:cs="宋体"/>
          <w:sz w:val="24"/>
        </w:rPr>
      </w:pPr>
      <w:r>
        <w:rPr>
          <w:rFonts w:hint="eastAsia" w:ascii="宋体" w:hAnsi="宋体" w:cs="宋体"/>
          <w:sz w:val="24"/>
        </w:rPr>
        <w:t>两条路由敷设方式均为端到端全程管道(含入局、引接等)，不得架空或者直埋;如果没有既有管道资源可用，投标人应负责新建管道。</w:t>
      </w:r>
    </w:p>
    <w:p w14:paraId="5FBD94DE">
      <w:pPr>
        <w:spacing w:line="440" w:lineRule="exact"/>
        <w:rPr>
          <w:rFonts w:hint="eastAsia" w:ascii="宋体" w:hAnsi="宋体" w:cs="宋体"/>
          <w:sz w:val="24"/>
        </w:rPr>
      </w:pPr>
      <w:r>
        <w:rPr>
          <w:rFonts w:hint="eastAsia" w:ascii="宋体" w:hAnsi="宋体" w:cs="宋体"/>
          <w:sz w:val="24"/>
        </w:rPr>
        <w:t>5.本条线路光缆纤芯需求数量为:2条路由均为 96 芯。</w:t>
      </w:r>
    </w:p>
    <w:p w14:paraId="41197002">
      <w:pPr>
        <w:spacing w:line="440" w:lineRule="exact"/>
        <w:rPr>
          <w:rFonts w:hint="eastAsia" w:ascii="宋体" w:hAnsi="宋体" w:cs="宋体"/>
          <w:sz w:val="24"/>
        </w:rPr>
      </w:pPr>
      <w:r>
        <w:rPr>
          <w:rFonts w:hint="eastAsia" w:ascii="宋体" w:hAnsi="宋体" w:cs="宋体"/>
          <w:sz w:val="24"/>
        </w:rPr>
        <w:t>6.张家港乐余--仪征经开光缆线路的起始位置为:张家港乐余机房网络核心6包间的本项目指定机柜;终点位置为:仪征经开机房网络核心包间的本项目指定机柜;两端均需做好 ODF 成端。</w:t>
      </w:r>
    </w:p>
    <w:p w14:paraId="25D136A0">
      <w:pPr>
        <w:spacing w:line="440" w:lineRule="exact"/>
        <w:rPr>
          <w:rFonts w:hint="eastAsia" w:ascii="宋体" w:hAnsi="宋体" w:cs="宋体"/>
          <w:sz w:val="24"/>
        </w:rPr>
      </w:pPr>
      <w:r>
        <w:rPr>
          <w:rFonts w:hint="eastAsia" w:ascii="宋体" w:hAnsi="宋体" w:cs="宋体"/>
          <w:sz w:val="24"/>
        </w:rPr>
        <w:t>7.本条线路的投标人应负责张家港乐余和仪征经开机房园区的红线内和红线外的管井打通工作，深度和走向应在实施前和招标人机房设计人员确认。</w:t>
      </w:r>
    </w:p>
    <w:p w14:paraId="049F31E2">
      <w:pPr>
        <w:spacing w:line="440" w:lineRule="exact"/>
        <w:rPr>
          <w:rFonts w:hint="eastAsia" w:ascii="宋体" w:hAnsi="宋体" w:cs="宋体"/>
          <w:sz w:val="24"/>
        </w:rPr>
      </w:pPr>
      <w:r>
        <w:rPr>
          <w:rFonts w:hint="eastAsia" w:ascii="宋体" w:hAnsi="宋体" w:cs="宋体"/>
          <w:sz w:val="24"/>
        </w:rPr>
        <w:t>8.要求2条路由光缆端到端长度均不得超过270km，0TDR验收长度仅作为技术验收使用，不作为商务计费使用，投标人需对投标时提供的技术方案长度和商务报价的总价负责。</w:t>
      </w:r>
    </w:p>
    <w:p w14:paraId="2CEDA487">
      <w:pPr>
        <w:spacing w:line="440" w:lineRule="exact"/>
        <w:rPr>
          <w:rFonts w:hint="eastAsia" w:ascii="宋体" w:hAnsi="宋体" w:cs="宋体"/>
          <w:sz w:val="24"/>
        </w:rPr>
      </w:pPr>
      <w:r>
        <w:rPr>
          <w:rFonts w:hint="eastAsia" w:ascii="宋体" w:hAnsi="宋体" w:cs="宋体"/>
          <w:sz w:val="24"/>
        </w:rPr>
        <w:t>9.以上所描述的 2 条路由上的端到端 96 芯光缆，招标人都拥有全程的使用权、处置权，招标人有权根据招标人业务随时启用，用途包括但不限于本项目，投标人应配合对接，不得以任何名义干涉和阻止。</w:t>
      </w:r>
    </w:p>
    <w:p w14:paraId="6244361A">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中继站技术要求说明</w:t>
      </w:r>
    </w:p>
    <w:p w14:paraId="53D2FF3E">
      <w:pPr>
        <w:spacing w:line="440" w:lineRule="exact"/>
        <w:rPr>
          <w:rFonts w:hint="eastAsia" w:ascii="宋体" w:hAnsi="宋体" w:cs="宋体"/>
          <w:sz w:val="24"/>
        </w:rPr>
      </w:pPr>
      <w:r>
        <w:rPr>
          <w:rFonts w:ascii="宋体" w:hAnsi="宋体" w:cs="宋体"/>
          <w:sz w:val="24"/>
        </w:rPr>
        <w:t>中继站站均需要由光缆投标人直接提供，站点技术要求都将计入技术评估打分，投标人应尽力保证所有站点满足要求，保证机房站点的供电、环境、运维的质量和稳定性。同时投标人应按照技术反馈要求如实响应，不得过度承诺。</w:t>
      </w:r>
    </w:p>
    <w:tbl>
      <w:tblPr>
        <w:tblStyle w:val="35"/>
        <w:tblW w:w="8070" w:type="dxa"/>
        <w:tblInd w:w="93" w:type="dxa"/>
        <w:tblLayout w:type="autofit"/>
        <w:tblCellMar>
          <w:top w:w="0" w:type="dxa"/>
          <w:left w:w="108" w:type="dxa"/>
          <w:bottom w:w="0" w:type="dxa"/>
          <w:right w:w="108" w:type="dxa"/>
        </w:tblCellMar>
      </w:tblPr>
      <w:tblGrid>
        <w:gridCol w:w="1080"/>
        <w:gridCol w:w="6990"/>
      </w:tblGrid>
      <w:tr w14:paraId="6C23476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143D4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990" w:type="dxa"/>
            <w:tcBorders>
              <w:top w:val="single" w:color="000000" w:sz="4" w:space="0"/>
              <w:left w:val="single" w:color="000000" w:sz="4" w:space="0"/>
              <w:bottom w:val="single" w:color="000000" w:sz="4" w:space="0"/>
              <w:right w:val="single" w:color="000000" w:sz="4" w:space="0"/>
            </w:tcBorders>
            <w:vAlign w:val="center"/>
          </w:tcPr>
          <w:p w14:paraId="4363AC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技术要求参考</w:t>
            </w:r>
          </w:p>
        </w:tc>
      </w:tr>
      <w:tr w14:paraId="03937D4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A411B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90" w:type="dxa"/>
            <w:tcBorders>
              <w:top w:val="single" w:color="000000" w:sz="4" w:space="0"/>
              <w:left w:val="single" w:color="000000" w:sz="4" w:space="0"/>
              <w:bottom w:val="single" w:color="000000" w:sz="4" w:space="0"/>
              <w:right w:val="single" w:color="000000" w:sz="4" w:space="0"/>
            </w:tcBorders>
            <w:vAlign w:val="center"/>
          </w:tcPr>
          <w:p w14:paraId="16D49B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机房环境</w:t>
            </w:r>
          </w:p>
        </w:tc>
      </w:tr>
      <w:tr w14:paraId="429BCDA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E98E9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6990" w:type="dxa"/>
            <w:tcBorders>
              <w:top w:val="single" w:color="000000" w:sz="4" w:space="0"/>
              <w:left w:val="single" w:color="000000" w:sz="4" w:space="0"/>
              <w:bottom w:val="single" w:color="000000" w:sz="4" w:space="0"/>
              <w:right w:val="single" w:color="000000" w:sz="4" w:space="0"/>
            </w:tcBorders>
            <w:vAlign w:val="center"/>
          </w:tcPr>
          <w:p w14:paraId="0664CA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远离地质灾害、危化设施、河道、高山等区域</w:t>
            </w:r>
          </w:p>
        </w:tc>
      </w:tr>
      <w:tr w14:paraId="7DE9AB93">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618DB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6990" w:type="dxa"/>
            <w:tcBorders>
              <w:top w:val="single" w:color="000000" w:sz="4" w:space="0"/>
              <w:left w:val="single" w:color="000000" w:sz="4" w:space="0"/>
              <w:bottom w:val="single" w:color="000000" w:sz="4" w:space="0"/>
              <w:right w:val="single" w:color="000000" w:sz="4" w:space="0"/>
            </w:tcBorders>
            <w:vAlign w:val="center"/>
          </w:tcPr>
          <w:p w14:paraId="2D414C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机房门、窗/进线孔具备良好封堵，防鼠防尘，机房每立方米空气中大于或等于 0.5um 的悬浮粒子数需小于17600000;</w:t>
            </w:r>
          </w:p>
        </w:tc>
      </w:tr>
      <w:tr w14:paraId="6855065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113E2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6990" w:type="dxa"/>
            <w:tcBorders>
              <w:top w:val="single" w:color="000000" w:sz="4" w:space="0"/>
              <w:left w:val="single" w:color="000000" w:sz="4" w:space="0"/>
              <w:bottom w:val="single" w:color="000000" w:sz="4" w:space="0"/>
              <w:right w:val="single" w:color="000000" w:sz="4" w:space="0"/>
            </w:tcBorders>
            <w:vAlign w:val="center"/>
          </w:tcPr>
          <w:p w14:paraId="5E1CD5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中继站选址应尽量靠近线路干缆，减少风险点，引入引出长度距离干线长度应小午1km</w:t>
            </w:r>
          </w:p>
        </w:tc>
      </w:tr>
      <w:tr w14:paraId="466D9B9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776C3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6990" w:type="dxa"/>
            <w:tcBorders>
              <w:top w:val="single" w:color="000000" w:sz="4" w:space="0"/>
              <w:left w:val="single" w:color="000000" w:sz="4" w:space="0"/>
              <w:bottom w:val="single" w:color="000000" w:sz="4" w:space="0"/>
              <w:right w:val="single" w:color="000000" w:sz="4" w:space="0"/>
            </w:tcBorders>
            <w:vAlign w:val="center"/>
          </w:tcPr>
          <w:p w14:paraId="50F352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中继站地面应高于当地洪水百年重现期水位线1m以上,并应高出室外地坪 0.6m以上;不得选用地下室</w:t>
            </w:r>
          </w:p>
        </w:tc>
      </w:tr>
      <w:tr w14:paraId="345BAAC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AA08F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90" w:type="dxa"/>
            <w:tcBorders>
              <w:top w:val="single" w:color="000000" w:sz="4" w:space="0"/>
              <w:left w:val="single" w:color="000000" w:sz="4" w:space="0"/>
              <w:bottom w:val="single" w:color="000000" w:sz="4" w:space="0"/>
              <w:right w:val="single" w:color="000000" w:sz="4" w:space="0"/>
            </w:tcBorders>
            <w:vAlign w:val="center"/>
          </w:tcPr>
          <w:p w14:paraId="55549F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电力系统</w:t>
            </w:r>
          </w:p>
        </w:tc>
      </w:tr>
      <w:tr w14:paraId="30BB1A7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6EB92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6990" w:type="dxa"/>
            <w:tcBorders>
              <w:top w:val="single" w:color="000000" w:sz="4" w:space="0"/>
              <w:left w:val="single" w:color="000000" w:sz="4" w:space="0"/>
              <w:bottom w:val="single" w:color="000000" w:sz="4" w:space="0"/>
              <w:right w:val="single" w:color="000000" w:sz="4" w:space="0"/>
            </w:tcBorders>
            <w:vAlign w:val="center"/>
          </w:tcPr>
          <w:p w14:paraId="63C6D4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所有站点均应配备柴油发电机，且保证配置总油量不小于当前负载供电8小时</w:t>
            </w:r>
          </w:p>
        </w:tc>
      </w:tr>
      <w:tr w14:paraId="5B1BDDEA">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4DF25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6990" w:type="dxa"/>
            <w:tcBorders>
              <w:top w:val="single" w:color="000000" w:sz="4" w:space="0"/>
              <w:left w:val="single" w:color="000000" w:sz="4" w:space="0"/>
              <w:bottom w:val="single" w:color="000000" w:sz="4" w:space="0"/>
              <w:right w:val="single" w:color="000000" w:sz="4" w:space="0"/>
            </w:tcBorders>
            <w:vAlign w:val="center"/>
          </w:tcPr>
          <w:p w14:paraId="6DD74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所有站点均应配置两套独立的 UPS 电源系统/开关电源系统(带电池);2.2A路电池后备时间不小于 0.5 小时，不大于1小时;B 路电池后备时间不小于 12 小时:</w:t>
            </w:r>
          </w:p>
        </w:tc>
      </w:tr>
      <w:tr w14:paraId="2F3D2CC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FDF6B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6990" w:type="dxa"/>
            <w:tcBorders>
              <w:top w:val="single" w:color="000000" w:sz="4" w:space="0"/>
              <w:left w:val="single" w:color="000000" w:sz="4" w:space="0"/>
              <w:bottom w:val="single" w:color="000000" w:sz="4" w:space="0"/>
              <w:right w:val="single" w:color="000000" w:sz="4" w:space="0"/>
            </w:tcBorders>
            <w:vAlign w:val="center"/>
          </w:tcPr>
          <w:p w14:paraId="41272E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机柜</w:t>
            </w:r>
          </w:p>
        </w:tc>
      </w:tr>
      <w:tr w14:paraId="067D739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936BA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6990" w:type="dxa"/>
            <w:tcBorders>
              <w:top w:val="single" w:color="000000" w:sz="4" w:space="0"/>
              <w:left w:val="single" w:color="000000" w:sz="4" w:space="0"/>
              <w:bottom w:val="single" w:color="000000" w:sz="4" w:space="0"/>
              <w:right w:val="single" w:color="000000" w:sz="4" w:space="0"/>
            </w:tcBorders>
            <w:vAlign w:val="center"/>
          </w:tcPr>
          <w:p w14:paraId="3E3D42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为本项目提供独立机房，5KW独立机柜，每机柜连续 42U 可用空间，提供托盘不得与其他用户共用机房;</w:t>
            </w:r>
          </w:p>
        </w:tc>
      </w:tr>
      <w:tr w14:paraId="2B2378F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67CE7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6990" w:type="dxa"/>
            <w:tcBorders>
              <w:top w:val="single" w:color="000000" w:sz="4" w:space="0"/>
              <w:left w:val="single" w:color="000000" w:sz="4" w:space="0"/>
              <w:bottom w:val="single" w:color="000000" w:sz="4" w:space="0"/>
              <w:right w:val="single" w:color="000000" w:sz="4" w:space="0"/>
            </w:tcBorders>
            <w:vAlign w:val="center"/>
          </w:tcPr>
          <w:p w14:paraId="3F4BCC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所有站点的机柜数量按如下标准执行:第一期提供2个独立机柜，预留8个可扩展机柜的空间、电力、制冷条件;</w:t>
            </w:r>
          </w:p>
        </w:tc>
      </w:tr>
      <w:tr w14:paraId="4916AA5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77433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6990" w:type="dxa"/>
            <w:tcBorders>
              <w:top w:val="single" w:color="000000" w:sz="4" w:space="0"/>
              <w:left w:val="single" w:color="000000" w:sz="4" w:space="0"/>
              <w:bottom w:val="single" w:color="000000" w:sz="4" w:space="0"/>
              <w:right w:val="single" w:color="000000" w:sz="4" w:space="0"/>
            </w:tcBorders>
            <w:vAlign w:val="center"/>
          </w:tcPr>
          <w:p w14:paraId="586AEC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机柜布线走线需横平竖直走线标准规范，避免变更操作串扰</w:t>
            </w:r>
          </w:p>
        </w:tc>
      </w:tr>
      <w:tr w14:paraId="16C7618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8F9BF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6990" w:type="dxa"/>
            <w:tcBorders>
              <w:top w:val="single" w:color="000000" w:sz="4" w:space="0"/>
              <w:left w:val="single" w:color="000000" w:sz="4" w:space="0"/>
              <w:bottom w:val="single" w:color="000000" w:sz="4" w:space="0"/>
              <w:right w:val="single" w:color="000000" w:sz="4" w:space="0"/>
            </w:tcBorders>
            <w:vAlign w:val="center"/>
          </w:tcPr>
          <w:p w14:paraId="3DDA1F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机柜需配置前后网孔门，门均可锁，且机柜前后最窄处不低于 1.5 米</w:t>
            </w:r>
          </w:p>
        </w:tc>
      </w:tr>
      <w:tr w14:paraId="7D21D58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82CE4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990" w:type="dxa"/>
            <w:tcBorders>
              <w:top w:val="single" w:color="000000" w:sz="4" w:space="0"/>
              <w:left w:val="single" w:color="000000" w:sz="4" w:space="0"/>
              <w:bottom w:val="single" w:color="000000" w:sz="4" w:space="0"/>
              <w:right w:val="single" w:color="000000" w:sz="4" w:space="0"/>
            </w:tcBorders>
            <w:vAlign w:val="center"/>
          </w:tcPr>
          <w:p w14:paraId="08927A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干缆&amp;ODF&amp;尾纤</w:t>
            </w:r>
          </w:p>
        </w:tc>
      </w:tr>
      <w:tr w14:paraId="37EDA5E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7244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6990" w:type="dxa"/>
            <w:tcBorders>
              <w:top w:val="single" w:color="000000" w:sz="4" w:space="0"/>
              <w:left w:val="single" w:color="000000" w:sz="4" w:space="0"/>
              <w:bottom w:val="single" w:color="000000" w:sz="4" w:space="0"/>
              <w:right w:val="single" w:color="000000" w:sz="4" w:space="0"/>
            </w:tcBorders>
            <w:vAlign w:val="center"/>
          </w:tcPr>
          <w:p w14:paraId="7B100F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干缆在机房内的出入局需具备不同管道和桥架，需保证物理双路由，避免路由上出现交叉或重叠</w:t>
            </w:r>
          </w:p>
        </w:tc>
      </w:tr>
      <w:tr w14:paraId="3383D2B1">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E03A8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6990" w:type="dxa"/>
            <w:tcBorders>
              <w:top w:val="single" w:color="000000" w:sz="4" w:space="0"/>
              <w:left w:val="single" w:color="000000" w:sz="4" w:space="0"/>
              <w:bottom w:val="single" w:color="000000" w:sz="4" w:space="0"/>
              <w:right w:val="single" w:color="000000" w:sz="4" w:space="0"/>
            </w:tcBorders>
            <w:vAlign w:val="center"/>
          </w:tcPr>
          <w:p w14:paraId="53355A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在本项目机柜内设置独立的 0DF(需从干缆上直接熔接,不得从其他 ODF 上跳接),DDF接口为FC/APC 接口</w:t>
            </w:r>
          </w:p>
        </w:tc>
      </w:tr>
      <w:tr w14:paraId="5EA0F05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C233D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6990" w:type="dxa"/>
            <w:tcBorders>
              <w:top w:val="single" w:color="000000" w:sz="4" w:space="0"/>
              <w:left w:val="single" w:color="000000" w:sz="4" w:space="0"/>
              <w:bottom w:val="single" w:color="000000" w:sz="4" w:space="0"/>
              <w:right w:val="single" w:color="000000" w:sz="4" w:space="0"/>
            </w:tcBorders>
            <w:vAlign w:val="center"/>
          </w:tcPr>
          <w:p w14:paraId="6CFA6C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不同方向的出入局干缆需成端在不同的 0DF 熔纤盒内</w:t>
            </w:r>
          </w:p>
        </w:tc>
      </w:tr>
      <w:tr w14:paraId="55FE4C6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C41CF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6990" w:type="dxa"/>
            <w:tcBorders>
              <w:top w:val="single" w:color="000000" w:sz="4" w:space="0"/>
              <w:left w:val="single" w:color="000000" w:sz="4" w:space="0"/>
              <w:bottom w:val="single" w:color="000000" w:sz="4" w:space="0"/>
              <w:right w:val="single" w:color="000000" w:sz="4" w:space="0"/>
            </w:tcBorders>
            <w:vAlign w:val="center"/>
          </w:tcPr>
          <w:p w14:paraId="27F909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提供 ODF 到设备U位之间的连接尾纤，并套波纹管</w:t>
            </w:r>
          </w:p>
        </w:tc>
      </w:tr>
      <w:tr w14:paraId="26723ED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172C0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6990" w:type="dxa"/>
            <w:tcBorders>
              <w:top w:val="single" w:color="000000" w:sz="4" w:space="0"/>
              <w:left w:val="single" w:color="000000" w:sz="4" w:space="0"/>
              <w:bottom w:val="single" w:color="000000" w:sz="4" w:space="0"/>
              <w:right w:val="single" w:color="000000" w:sz="4" w:space="0"/>
            </w:tcBorders>
            <w:vAlign w:val="center"/>
          </w:tcPr>
          <w:p w14:paraId="066742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机房内应常备4条以上各类型尾纤，常备波纹管，清洁工具</w:t>
            </w:r>
          </w:p>
        </w:tc>
      </w:tr>
      <w:tr w14:paraId="1A4EF3F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2DD44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990" w:type="dxa"/>
            <w:tcBorders>
              <w:top w:val="single" w:color="000000" w:sz="4" w:space="0"/>
              <w:left w:val="single" w:color="000000" w:sz="4" w:space="0"/>
              <w:bottom w:val="single" w:color="000000" w:sz="4" w:space="0"/>
              <w:right w:val="single" w:color="000000" w:sz="4" w:space="0"/>
            </w:tcBorders>
            <w:vAlign w:val="center"/>
          </w:tcPr>
          <w:p w14:paraId="4DC786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空调系统</w:t>
            </w:r>
          </w:p>
        </w:tc>
      </w:tr>
      <w:tr w14:paraId="3E59B1C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E24A1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6990" w:type="dxa"/>
            <w:tcBorders>
              <w:top w:val="single" w:color="000000" w:sz="4" w:space="0"/>
              <w:left w:val="single" w:color="000000" w:sz="4" w:space="0"/>
              <w:bottom w:val="single" w:color="000000" w:sz="4" w:space="0"/>
              <w:right w:val="single" w:color="000000" w:sz="4" w:space="0"/>
            </w:tcBorders>
            <w:vAlign w:val="center"/>
          </w:tcPr>
          <w:p w14:paraId="69F443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需要满足 2N 冷源</w:t>
            </w:r>
          </w:p>
        </w:tc>
      </w:tr>
      <w:tr w14:paraId="43E3213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0B5E0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6990" w:type="dxa"/>
            <w:tcBorders>
              <w:top w:val="single" w:color="000000" w:sz="4" w:space="0"/>
              <w:left w:val="single" w:color="000000" w:sz="4" w:space="0"/>
              <w:bottom w:val="single" w:color="000000" w:sz="4" w:space="0"/>
              <w:right w:val="single" w:color="000000" w:sz="4" w:space="0"/>
            </w:tcBorders>
            <w:vAlign w:val="center"/>
          </w:tcPr>
          <w:p w14:paraId="2BE522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确保任意单台空调故障下，环境温度不高于32℃(2小时后测温）</w:t>
            </w:r>
          </w:p>
        </w:tc>
      </w:tr>
      <w:tr w14:paraId="5360C27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A0BC9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6990" w:type="dxa"/>
            <w:tcBorders>
              <w:top w:val="single" w:color="000000" w:sz="4" w:space="0"/>
              <w:left w:val="single" w:color="000000" w:sz="4" w:space="0"/>
              <w:bottom w:val="single" w:color="000000" w:sz="4" w:space="0"/>
              <w:right w:val="single" w:color="000000" w:sz="4" w:space="0"/>
            </w:tcBorders>
            <w:vAlign w:val="center"/>
          </w:tcPr>
          <w:p w14:paraId="6736E5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温湿度范围:20~25℃;30~60%，所有区域环境须保持无凝露状态</w:t>
            </w:r>
          </w:p>
        </w:tc>
      </w:tr>
      <w:tr w14:paraId="12E494C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4B182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6990" w:type="dxa"/>
            <w:tcBorders>
              <w:top w:val="single" w:color="000000" w:sz="4" w:space="0"/>
              <w:left w:val="single" w:color="000000" w:sz="4" w:space="0"/>
              <w:bottom w:val="single" w:color="000000" w:sz="4" w:space="0"/>
              <w:right w:val="single" w:color="000000" w:sz="4" w:space="0"/>
            </w:tcBorders>
            <w:vAlign w:val="center"/>
          </w:tcPr>
          <w:p w14:paraId="211A8A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消防系统</w:t>
            </w:r>
          </w:p>
        </w:tc>
      </w:tr>
      <w:tr w14:paraId="1D52A62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936ED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6990" w:type="dxa"/>
            <w:tcBorders>
              <w:top w:val="single" w:color="000000" w:sz="4" w:space="0"/>
              <w:left w:val="single" w:color="000000" w:sz="4" w:space="0"/>
              <w:bottom w:val="single" w:color="000000" w:sz="4" w:space="0"/>
              <w:right w:val="single" w:color="000000" w:sz="4" w:space="0"/>
            </w:tcBorders>
            <w:vAlign w:val="center"/>
          </w:tcPr>
          <w:p w14:paraId="211703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机房具备气体灭火系统，且常备干冰灭火器</w:t>
            </w:r>
          </w:p>
        </w:tc>
      </w:tr>
      <w:tr w14:paraId="600C499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53914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6990" w:type="dxa"/>
            <w:tcBorders>
              <w:top w:val="single" w:color="000000" w:sz="4" w:space="0"/>
              <w:left w:val="single" w:color="000000" w:sz="4" w:space="0"/>
              <w:bottom w:val="single" w:color="000000" w:sz="4" w:space="0"/>
              <w:right w:val="single" w:color="000000" w:sz="4" w:space="0"/>
            </w:tcBorders>
            <w:vAlign w:val="center"/>
          </w:tcPr>
          <w:p w14:paraId="0CF919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动环监控系统</w:t>
            </w:r>
          </w:p>
        </w:tc>
      </w:tr>
      <w:tr w14:paraId="6681D9C4">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D4D4F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6990" w:type="dxa"/>
            <w:tcBorders>
              <w:top w:val="single" w:color="000000" w:sz="4" w:space="0"/>
              <w:left w:val="single" w:color="000000" w:sz="4" w:space="0"/>
              <w:bottom w:val="single" w:color="000000" w:sz="4" w:space="0"/>
              <w:right w:val="single" w:color="000000" w:sz="4" w:space="0"/>
            </w:tcBorders>
            <w:vAlign w:val="center"/>
          </w:tcPr>
          <w:p w14:paraId="5D1735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需具备完备的动力环境监控系统，具备市电中断报警监控、UPS/开关电源系统含电池)状态监控、环境温湿度实时监控告警、烟感水浸等远程监控告警能力。</w:t>
            </w:r>
          </w:p>
        </w:tc>
      </w:tr>
      <w:tr w14:paraId="79EB894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57A30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6990" w:type="dxa"/>
            <w:tcBorders>
              <w:top w:val="single" w:color="000000" w:sz="4" w:space="0"/>
              <w:left w:val="single" w:color="000000" w:sz="4" w:space="0"/>
              <w:bottom w:val="single" w:color="000000" w:sz="4" w:space="0"/>
              <w:right w:val="single" w:color="000000" w:sz="4" w:space="0"/>
            </w:tcBorders>
            <w:vAlign w:val="center"/>
          </w:tcPr>
          <w:p w14:paraId="561A25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按照线路统一动环监控系统和品牌，实现集中管理</w:t>
            </w:r>
          </w:p>
        </w:tc>
      </w:tr>
      <w:tr w14:paraId="3B82198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05BCB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6990" w:type="dxa"/>
            <w:tcBorders>
              <w:top w:val="single" w:color="000000" w:sz="4" w:space="0"/>
              <w:left w:val="single" w:color="000000" w:sz="4" w:space="0"/>
              <w:bottom w:val="single" w:color="000000" w:sz="4" w:space="0"/>
              <w:right w:val="single" w:color="000000" w:sz="4" w:space="0"/>
            </w:tcBorders>
            <w:vAlign w:val="center"/>
          </w:tcPr>
          <w:p w14:paraId="7E0524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基础运维能力</w:t>
            </w:r>
          </w:p>
        </w:tc>
      </w:tr>
      <w:tr w14:paraId="3955E54F">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E54E0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c>
          <w:tcPr>
            <w:tcW w:w="6990" w:type="dxa"/>
            <w:tcBorders>
              <w:top w:val="single" w:color="000000" w:sz="4" w:space="0"/>
              <w:left w:val="single" w:color="000000" w:sz="4" w:space="0"/>
              <w:bottom w:val="single" w:color="000000" w:sz="4" w:space="0"/>
              <w:right w:val="single" w:color="000000" w:sz="4" w:space="0"/>
            </w:tcBorders>
            <w:vAlign w:val="center"/>
          </w:tcPr>
          <w:p w14:paraId="2132FF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机房具备 7*24 小时运维能力</w:t>
            </w:r>
          </w:p>
        </w:tc>
      </w:tr>
      <w:tr w14:paraId="4F82A72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19AFC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c>
          <w:tcPr>
            <w:tcW w:w="6990" w:type="dxa"/>
            <w:tcBorders>
              <w:top w:val="single" w:color="000000" w:sz="4" w:space="0"/>
              <w:left w:val="single" w:color="000000" w:sz="4" w:space="0"/>
              <w:bottom w:val="single" w:color="000000" w:sz="4" w:space="0"/>
              <w:right w:val="single" w:color="000000" w:sz="4" w:space="0"/>
            </w:tcBorders>
            <w:vAlign w:val="center"/>
          </w:tcPr>
          <w:p w14:paraId="34357F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提供值班人员电话，以及将值班人员加入运维群组</w:t>
            </w:r>
          </w:p>
        </w:tc>
      </w:tr>
      <w:tr w14:paraId="0580605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C838D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w:t>
            </w:r>
          </w:p>
        </w:tc>
        <w:tc>
          <w:tcPr>
            <w:tcW w:w="6990" w:type="dxa"/>
            <w:tcBorders>
              <w:top w:val="single" w:color="000000" w:sz="4" w:space="0"/>
              <w:left w:val="single" w:color="000000" w:sz="4" w:space="0"/>
              <w:bottom w:val="single" w:color="000000" w:sz="4" w:space="0"/>
              <w:right w:val="single" w:color="000000" w:sz="4" w:space="0"/>
            </w:tcBorders>
            <w:vAlign w:val="center"/>
          </w:tcPr>
          <w:p w14:paraId="5266CF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除非招标人授权，拒绝任何方对招标人设备或线缆操作变更</w:t>
            </w:r>
          </w:p>
        </w:tc>
      </w:tr>
      <w:tr w14:paraId="2927EDE5">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34377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c>
          <w:tcPr>
            <w:tcW w:w="6990" w:type="dxa"/>
            <w:tcBorders>
              <w:top w:val="single" w:color="000000" w:sz="4" w:space="0"/>
              <w:left w:val="single" w:color="000000" w:sz="4" w:space="0"/>
              <w:bottom w:val="single" w:color="000000" w:sz="4" w:space="0"/>
              <w:right w:val="single" w:color="000000" w:sz="4" w:space="0"/>
            </w:tcBorders>
            <w:vAlign w:val="center"/>
          </w:tcPr>
          <w:p w14:paraId="5D4498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在任何情况下，招标人提交的进站维护申请(包括设备安装、加电、调测、布线、RMA 等)都能随时进站处理，不受其他因素限制</w:t>
            </w:r>
          </w:p>
        </w:tc>
      </w:tr>
    </w:tbl>
    <w:p w14:paraId="35FE672A">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光缆光纤选材</w:t>
      </w:r>
    </w:p>
    <w:p w14:paraId="0BB4A3B5">
      <w:pPr>
        <w:spacing w:line="440" w:lineRule="exact"/>
        <w:ind w:left="420" w:leftChars="200"/>
        <w:rPr>
          <w:rFonts w:hint="eastAsia" w:ascii="宋体" w:hAnsi="宋体" w:cs="宋体"/>
          <w:sz w:val="24"/>
        </w:rPr>
      </w:pPr>
      <w:r>
        <w:rPr>
          <w:rFonts w:ascii="宋体" w:hAnsi="宋体" w:cs="宋体"/>
          <w:sz w:val="24"/>
        </w:rPr>
        <w:t>光缆选材:针对本次项目应选用重铠光缆(GYTA53)或轻铠光缆(GYTS)，光纤类型:G.652D，不得使用非铠装光缆(如 GYTA)。</w:t>
      </w:r>
    </w:p>
    <w:p w14:paraId="7462599D">
      <w:pPr>
        <w:spacing w:line="440" w:lineRule="exact"/>
        <w:ind w:left="420" w:leftChars="200"/>
        <w:rPr>
          <w:rFonts w:hint="eastAsia" w:ascii="宋体" w:hAnsi="宋体" w:cs="宋体"/>
          <w:sz w:val="24"/>
        </w:rPr>
      </w:pPr>
      <w:r>
        <w:rPr>
          <w:rFonts w:ascii="宋体" w:hAnsi="宋体" w:cs="宋体"/>
          <w:sz w:val="24"/>
        </w:rPr>
        <w:t>光缆光纤品牌要求:应选用康宁、长飞、烽火、亨通品牌光缆、光纤。张家港乐余机房和仪征经开机房内成端 0DF 选用 4U288F 光纤配线架，接头类型为双工 LC。品牌要求:应选用长飞、光迅、特发品牌 0DF。</w:t>
      </w:r>
    </w:p>
    <w:p w14:paraId="1DBB3080">
      <w:pPr>
        <w:spacing w:line="440" w:lineRule="exact"/>
        <w:ind w:left="420" w:leftChars="200"/>
        <w:rPr>
          <w:rFonts w:hint="eastAsia" w:ascii="宋体" w:hAnsi="宋体" w:cs="宋体"/>
          <w:sz w:val="24"/>
        </w:rPr>
      </w:pPr>
      <w:r>
        <w:rPr>
          <w:rFonts w:ascii="宋体" w:hAnsi="宋体" w:cs="宋体"/>
          <w:sz w:val="24"/>
        </w:rPr>
        <w:t>中继站机房对 ODF 类型不作要求，但需要将设备--0DF 跳接的尾纤(一主纤+两备纤)全程套波纹管，且设备侧尾纤接头类型为LC。</w:t>
      </w:r>
    </w:p>
    <w:p w14:paraId="694BE54A">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光缆光纤技术指标</w:t>
      </w:r>
    </w:p>
    <w:p w14:paraId="628E4F3E">
      <w:pPr>
        <w:spacing w:line="440" w:lineRule="exact"/>
        <w:ind w:left="420" w:leftChars="200"/>
        <w:rPr>
          <w:rFonts w:hint="eastAsia" w:ascii="宋体" w:hAnsi="宋体" w:cs="宋体"/>
          <w:sz w:val="24"/>
        </w:rPr>
      </w:pPr>
      <w:r>
        <w:rPr>
          <w:rFonts w:ascii="宋体" w:hAnsi="宋体" w:cs="宋体"/>
          <w:sz w:val="24"/>
        </w:rPr>
        <w:t>1.每跨段光缆全程平均损耗要求:包括全程的接续损耗、跳接损耗，在1550nm 波长下平均衰耗小于等于 0.22db/km;</w:t>
      </w:r>
    </w:p>
    <w:p w14:paraId="5311C151">
      <w:pPr>
        <w:spacing w:line="440" w:lineRule="exact"/>
        <w:ind w:left="420" w:leftChars="200"/>
        <w:rPr>
          <w:rFonts w:hint="eastAsia" w:ascii="宋体" w:hAnsi="宋体" w:cs="宋体"/>
          <w:sz w:val="24"/>
        </w:rPr>
      </w:pPr>
      <w:r>
        <w:rPr>
          <w:rFonts w:ascii="宋体" w:hAnsi="宋体" w:cs="宋体"/>
          <w:sz w:val="24"/>
        </w:rPr>
        <w:t>2.线路 BOL 单跨长度不超过 80km，单跨损耗不超过18.6dB;</w:t>
      </w:r>
    </w:p>
    <w:p w14:paraId="11E7C7DF">
      <w:pPr>
        <w:spacing w:line="440" w:lineRule="exact"/>
        <w:ind w:left="420" w:leftChars="200"/>
        <w:rPr>
          <w:rFonts w:hint="eastAsia" w:ascii="宋体" w:hAnsi="宋体" w:cs="宋体"/>
          <w:sz w:val="24"/>
        </w:rPr>
      </w:pPr>
      <w:r>
        <w:rPr>
          <w:rFonts w:ascii="宋体" w:hAnsi="宋体" w:cs="宋体"/>
          <w:sz w:val="24"/>
        </w:rPr>
        <w:t>3.光缆运营生命周期内，每5年周期内光缆新增衰耗不得超过1.5dB，20年的生命周期内平均损耗小于等于 0.275dB/km</w:t>
      </w:r>
    </w:p>
    <w:p w14:paraId="0A9DF18C">
      <w:pPr>
        <w:spacing w:line="440" w:lineRule="exact"/>
        <w:ind w:left="420" w:leftChars="200"/>
        <w:rPr>
          <w:rFonts w:hint="eastAsia" w:ascii="宋体" w:hAnsi="宋体" w:cs="宋体"/>
          <w:sz w:val="24"/>
        </w:rPr>
      </w:pPr>
      <w:r>
        <w:rPr>
          <w:rFonts w:ascii="宋体" w:hAnsi="宋体" w:cs="宋体"/>
          <w:sz w:val="24"/>
        </w:rPr>
        <w:t>4.同一跨段同一条光缆的多条纤芯衰耗值的最大差异值不超过1db;</w:t>
      </w:r>
    </w:p>
    <w:p w14:paraId="0461FD58">
      <w:pPr>
        <w:spacing w:line="440" w:lineRule="exact"/>
        <w:ind w:left="420" w:leftChars="200"/>
        <w:rPr>
          <w:rFonts w:hint="eastAsia" w:ascii="宋体" w:hAnsi="宋体" w:cs="宋体"/>
          <w:sz w:val="24"/>
        </w:rPr>
      </w:pPr>
      <w:r>
        <w:rPr>
          <w:rFonts w:ascii="宋体" w:hAnsi="宋体" w:cs="宋体"/>
          <w:sz w:val="24"/>
        </w:rPr>
        <w:t>5.单模光缆中间接头损耗每纤损耗在0.05db 以下;</w:t>
      </w:r>
    </w:p>
    <w:p w14:paraId="22CBCBA2">
      <w:pPr>
        <w:spacing w:line="440" w:lineRule="exact"/>
        <w:ind w:left="420" w:leftChars="200"/>
        <w:rPr>
          <w:rFonts w:hint="eastAsia" w:ascii="宋体" w:hAnsi="宋体" w:cs="宋体"/>
          <w:sz w:val="24"/>
        </w:rPr>
      </w:pPr>
      <w:r>
        <w:rPr>
          <w:rFonts w:ascii="宋体" w:hAnsi="宋体" w:cs="宋体"/>
          <w:sz w:val="24"/>
        </w:rPr>
        <w:t>6.光缆纤芯成端损耗:每纤芯损耗包括活动耦合器在内应不大于0.5db;</w:t>
      </w:r>
    </w:p>
    <w:p w14:paraId="56E9B0E1">
      <w:pPr>
        <w:spacing w:line="440" w:lineRule="exact"/>
        <w:ind w:left="420" w:left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）项目管理平台</w:t>
      </w:r>
    </w:p>
    <w:p w14:paraId="63006743">
      <w:pPr>
        <w:spacing w:line="440" w:lineRule="exact"/>
        <w:ind w:firstLine="480" w:firstLineChars="200"/>
        <w:rPr>
          <w:rFonts w:hint="eastAsia" w:ascii="宋体" w:hAnsi="宋体" w:cs="宋体"/>
          <w:sz w:val="24"/>
        </w:rPr>
      </w:pPr>
      <w:r>
        <w:rPr>
          <w:rFonts w:hint="eastAsia" w:ascii="宋体" w:hAnsi="宋体" w:cs="宋体"/>
          <w:sz w:val="24"/>
        </w:rPr>
        <w:t>1.企业级管理：多层次、多类别全量项目统一综合管控，快速查看、编辑企业全量项目、人员、相关责任单位，分配权限。</w:t>
      </w:r>
    </w:p>
    <w:p w14:paraId="0920538F">
      <w:pPr>
        <w:spacing w:line="440" w:lineRule="exact"/>
        <w:ind w:firstLine="480" w:firstLineChars="200"/>
        <w:rPr>
          <w:rFonts w:hint="eastAsia" w:ascii="宋体" w:hAnsi="宋体" w:cs="宋体"/>
          <w:sz w:val="24"/>
        </w:rPr>
      </w:pPr>
      <w:r>
        <w:rPr>
          <w:rFonts w:hint="eastAsia" w:ascii="宋体" w:hAnsi="宋体" w:cs="宋体"/>
          <w:sz w:val="24"/>
        </w:rPr>
        <w:t>2.项目级管理：</w:t>
      </w:r>
    </w:p>
    <w:p w14:paraId="15D3FD5C">
      <w:pPr>
        <w:spacing w:line="440" w:lineRule="exact"/>
        <w:ind w:firstLine="480" w:firstLineChars="200"/>
        <w:rPr>
          <w:rFonts w:hint="eastAsia" w:ascii="宋体" w:hAnsi="宋体" w:cs="宋体"/>
          <w:sz w:val="24"/>
        </w:rPr>
      </w:pPr>
      <w:r>
        <w:rPr>
          <w:rFonts w:hint="eastAsia" w:ascii="宋体" w:hAnsi="宋体" w:cs="宋体"/>
          <w:sz w:val="24"/>
        </w:rPr>
        <w:t>2.1项目信息管理：维护工程施工项目的基础信息、相关责任单位、项目展示效果、项目施工平面图，把控工程项目</w:t>
      </w:r>
      <w:bookmarkStart w:id="0" w:name="_GoBack"/>
      <w:bookmarkEnd w:id="0"/>
      <w:r>
        <w:rPr>
          <w:rFonts w:hint="eastAsia" w:ascii="宋体" w:hAnsi="宋体" w:cs="宋体"/>
          <w:sz w:val="24"/>
        </w:rPr>
        <w:t>整体实施。</w:t>
      </w:r>
    </w:p>
    <w:p w14:paraId="1E5E3A78">
      <w:pPr>
        <w:spacing w:line="440" w:lineRule="exact"/>
        <w:ind w:firstLine="480" w:firstLineChars="200"/>
        <w:rPr>
          <w:rFonts w:hint="eastAsia" w:ascii="宋体" w:hAnsi="宋体" w:cs="宋体"/>
          <w:sz w:val="24"/>
        </w:rPr>
      </w:pPr>
      <w:r>
        <w:rPr>
          <w:rFonts w:hint="eastAsia" w:ascii="宋体" w:hAnsi="宋体" w:cs="宋体"/>
          <w:sz w:val="24"/>
        </w:rPr>
        <w:t>2.2人员管理：展示项目人员列表，对施工现场人员实现实名制管理；提供班组管理、考勤管理功能，服务现场劳务管理。</w:t>
      </w:r>
    </w:p>
    <w:p w14:paraId="0B9F3A20">
      <w:pPr>
        <w:spacing w:line="440" w:lineRule="exact"/>
        <w:ind w:firstLine="480" w:firstLineChars="200"/>
        <w:rPr>
          <w:rFonts w:hint="eastAsia" w:ascii="宋体" w:hAnsi="宋体" w:cs="宋体"/>
          <w:sz w:val="24"/>
        </w:rPr>
      </w:pPr>
      <w:r>
        <w:rPr>
          <w:rFonts w:hint="eastAsia" w:ascii="宋体" w:hAnsi="宋体" w:cs="宋体"/>
          <w:sz w:val="24"/>
        </w:rPr>
        <w:t>2.3进度管理：制定项目进度及里程碑计划，创建 WBS 并明确责任人；项目进展查询，计划变更审批，项目进度告警。关注项目是否按工期正常开展，确保项目的按期交付。</w:t>
      </w:r>
    </w:p>
    <w:p w14:paraId="24D8CFA6">
      <w:pPr>
        <w:spacing w:line="440" w:lineRule="exact"/>
        <w:ind w:firstLine="480" w:firstLineChars="200"/>
        <w:rPr>
          <w:rFonts w:hint="eastAsia" w:ascii="宋体" w:hAnsi="宋体" w:cs="宋体"/>
          <w:sz w:val="24"/>
        </w:rPr>
      </w:pPr>
      <w:r>
        <w:rPr>
          <w:rFonts w:hint="eastAsia" w:ascii="宋体" w:hAnsi="宋体" w:cs="宋体"/>
          <w:sz w:val="24"/>
        </w:rPr>
        <w:t>2.4安全管理：记录安全交底情况，实现安全检查、安全问题上报闭环处理，识别危险源、环境因素，应急演练计划与详情记录。</w:t>
      </w:r>
    </w:p>
    <w:p w14:paraId="5073B47B">
      <w:pPr>
        <w:spacing w:line="440" w:lineRule="exact"/>
        <w:ind w:firstLine="480" w:firstLineChars="200"/>
        <w:rPr>
          <w:rFonts w:hint="eastAsia" w:ascii="宋体" w:hAnsi="宋体" w:cs="宋体"/>
          <w:sz w:val="24"/>
        </w:rPr>
      </w:pPr>
      <w:r>
        <w:rPr>
          <w:rFonts w:hint="eastAsia" w:ascii="宋体" w:hAnsi="宋体" w:cs="宋体"/>
          <w:sz w:val="24"/>
        </w:rPr>
        <w:t>2.5质量管理：通过图片、影像对工序、检验批、分部分项建设的报审报验进行留痕。支持质量问题上报，同时进行整改和反馈，提升工程建设水平，提高建设质量。对技术交底、设计交底进行记录。</w:t>
      </w:r>
    </w:p>
    <w:p w14:paraId="2EB7CE3A">
      <w:pPr>
        <w:spacing w:line="440" w:lineRule="exact"/>
        <w:ind w:firstLine="480" w:firstLineChars="200"/>
        <w:rPr>
          <w:rFonts w:hint="eastAsia" w:ascii="宋体" w:hAnsi="宋体" w:cs="宋体"/>
          <w:sz w:val="24"/>
        </w:rPr>
      </w:pPr>
      <w:r>
        <w:rPr>
          <w:rFonts w:hint="eastAsia" w:ascii="宋体" w:hAnsi="宋体" w:cs="宋体"/>
          <w:sz w:val="24"/>
        </w:rPr>
        <w:t>2.6资料管理：建立企业经验知识库，全面监督和收集工程建设项目相关资料，实现资源共享。可查看、上传、下载资料模板。</w:t>
      </w:r>
    </w:p>
    <w:p w14:paraId="1405EB87">
      <w:pPr>
        <w:spacing w:line="440" w:lineRule="exact"/>
        <w:ind w:firstLine="480" w:firstLineChars="200"/>
        <w:rPr>
          <w:rFonts w:hint="eastAsia" w:ascii="宋体" w:hAnsi="宋体" w:cs="宋体"/>
          <w:sz w:val="24"/>
        </w:rPr>
      </w:pPr>
      <w:r>
        <w:rPr>
          <w:rFonts w:hint="eastAsia" w:ascii="宋体" w:hAnsi="宋体" w:cs="宋体"/>
          <w:sz w:val="24"/>
        </w:rPr>
        <w:t>2.7工作报告：记录工作日报、工作周报、工作月报。</w:t>
      </w:r>
    </w:p>
    <w:p w14:paraId="3DB55549">
      <w:pPr>
        <w:spacing w:line="440" w:lineRule="exact"/>
        <w:ind w:firstLine="480" w:firstLineChars="200"/>
        <w:rPr>
          <w:rFonts w:hint="eastAsia" w:ascii="宋体" w:hAnsi="宋体" w:cs="宋体"/>
          <w:sz w:val="24"/>
        </w:rPr>
      </w:pPr>
      <w:r>
        <w:rPr>
          <w:rFonts w:hint="eastAsia" w:ascii="宋体" w:hAnsi="宋体" w:cs="宋体"/>
          <w:sz w:val="24"/>
        </w:rPr>
        <w:t>2.8合同管理：收入合同、成本合同的详细信息，包括合同名称、合同编号、合同相对方、签约日期、合同金额等。</w:t>
      </w:r>
    </w:p>
    <w:p w14:paraId="58478EFB">
      <w:pPr>
        <w:spacing w:line="440" w:lineRule="exact"/>
        <w:ind w:firstLine="480" w:firstLineChars="200"/>
        <w:rPr>
          <w:rFonts w:hint="eastAsia" w:ascii="宋体" w:hAnsi="宋体" w:cs="宋体"/>
          <w:sz w:val="24"/>
        </w:rPr>
      </w:pPr>
      <w:r>
        <w:rPr>
          <w:rFonts w:hint="eastAsia" w:ascii="宋体" w:hAnsi="宋体" w:cs="宋体"/>
          <w:sz w:val="24"/>
        </w:rPr>
        <w:t>3.移动端：主要用于项目信息与资料查看、现场安全及质量管理、人员考勤及在场情况统计。</w:t>
      </w:r>
    </w:p>
    <w:p w14:paraId="30E0DD70">
      <w:pPr>
        <w:spacing w:line="440" w:lineRule="exact"/>
        <w:ind w:firstLine="480" w:firstLineChars="200"/>
        <w:rPr>
          <w:rFonts w:hint="eastAsia" w:ascii="宋体" w:hAnsi="宋体" w:cs="宋体"/>
          <w:sz w:val="24"/>
        </w:rPr>
      </w:pPr>
      <w:r>
        <w:rPr>
          <w:rFonts w:hint="eastAsia" w:ascii="宋体" w:hAnsi="宋体" w:cs="宋体"/>
          <w:sz w:val="24"/>
        </w:rPr>
        <w:t>4.安全培训考试：</w:t>
      </w:r>
    </w:p>
    <w:p w14:paraId="44B84540">
      <w:pPr>
        <w:spacing w:line="440" w:lineRule="exact"/>
        <w:ind w:firstLine="480" w:firstLineChars="200"/>
        <w:rPr>
          <w:rFonts w:hint="eastAsia" w:ascii="宋体" w:hAnsi="宋体" w:cs="宋体"/>
          <w:sz w:val="24"/>
        </w:rPr>
      </w:pPr>
      <w:r>
        <w:rPr>
          <w:rFonts w:hint="eastAsia" w:ascii="宋体" w:hAnsi="宋体" w:cs="宋体"/>
          <w:sz w:val="24"/>
        </w:rPr>
        <w:t>4.1培训管理：管理培训类型，制定与下发培训计划，为培训项目分配课程。</w:t>
      </w:r>
    </w:p>
    <w:p w14:paraId="6DA1E9D6">
      <w:pPr>
        <w:spacing w:line="440" w:lineRule="exact"/>
        <w:ind w:firstLine="480" w:firstLineChars="200"/>
        <w:rPr>
          <w:rFonts w:hint="eastAsia" w:ascii="宋体" w:hAnsi="宋体" w:cs="宋体"/>
          <w:sz w:val="24"/>
        </w:rPr>
      </w:pPr>
      <w:r>
        <w:rPr>
          <w:rFonts w:hint="eastAsia" w:ascii="宋体" w:hAnsi="宋体" w:cs="宋体"/>
          <w:sz w:val="24"/>
        </w:rPr>
        <w:t>4.2讲师管理：查看、新建、编辑讲师基本信息。</w:t>
      </w:r>
    </w:p>
    <w:p w14:paraId="7F3C5FE1">
      <w:pPr>
        <w:spacing w:line="440" w:lineRule="exact"/>
        <w:ind w:firstLine="480" w:firstLineChars="200"/>
        <w:rPr>
          <w:rFonts w:hint="eastAsia" w:ascii="宋体" w:hAnsi="宋体" w:cs="宋体"/>
          <w:sz w:val="24"/>
        </w:rPr>
      </w:pPr>
      <w:r>
        <w:rPr>
          <w:rFonts w:hint="eastAsia" w:ascii="宋体" w:hAnsi="宋体" w:cs="宋体"/>
          <w:sz w:val="24"/>
        </w:rPr>
        <w:t>4.3证书管理：可根据实际情况来设置证书模版。对于已颁发证书的记录均可在此处展示。</w:t>
      </w:r>
    </w:p>
    <w:p w14:paraId="0313B4FB">
      <w:pPr>
        <w:spacing w:line="440" w:lineRule="exact"/>
        <w:ind w:firstLine="480" w:firstLineChars="200"/>
        <w:rPr>
          <w:rFonts w:hint="eastAsia" w:ascii="宋体" w:hAnsi="宋体" w:cs="宋体"/>
          <w:sz w:val="24"/>
        </w:rPr>
      </w:pPr>
      <w:r>
        <w:rPr>
          <w:rFonts w:hint="eastAsia" w:ascii="宋体" w:hAnsi="宋体" w:cs="宋体"/>
          <w:sz w:val="24"/>
        </w:rPr>
        <w:t>4.4教务系统：可创建与批量导入考试题库，试题支持按照分类进行展示，并且支持单选题、多选题、问答题、判断题的创建。用户在考试题库组好试题之后可选择关联进行组卷。对视频资源、学习资料进行管理。</w:t>
      </w:r>
    </w:p>
    <w:p w14:paraId="3D296206">
      <w:pPr>
        <w:spacing w:line="440" w:lineRule="exact"/>
        <w:ind w:firstLine="480" w:firstLineChars="200"/>
        <w:rPr>
          <w:rFonts w:hint="eastAsia" w:ascii="宋体" w:hAnsi="宋体" w:cs="宋体"/>
          <w:sz w:val="24"/>
        </w:rPr>
      </w:pPr>
      <w:r>
        <w:rPr>
          <w:rFonts w:hint="eastAsia" w:ascii="宋体" w:hAnsi="宋体" w:cs="宋体"/>
          <w:sz w:val="24"/>
        </w:rPr>
        <w:t>4.5系统设置：对学习过程与考试进行设置。例如暂停播放设置(分钟)、人脸识别开关、视频拖拽设置、考试是否开启全屏开关、考试是否开启人脸识别开关、考试次数限制设置、考试最低时长设置(分钟)等。</w:t>
      </w:r>
    </w:p>
    <w:p w14:paraId="79EBFD1D">
      <w:pPr>
        <w:spacing w:line="440" w:lineRule="exact"/>
        <w:ind w:firstLine="480" w:firstLineChars="200"/>
        <w:rPr>
          <w:rFonts w:hint="eastAsia" w:ascii="宋体" w:hAnsi="宋体" w:cs="宋体"/>
          <w:sz w:val="24"/>
        </w:rPr>
      </w:pPr>
      <w:r>
        <w:rPr>
          <w:rFonts w:hint="eastAsia" w:ascii="宋体" w:hAnsi="宋体" w:cs="宋体"/>
          <w:sz w:val="24"/>
        </w:rPr>
        <w:t>4.6学员个人信息：学生个人资料信息维护。</w:t>
      </w:r>
    </w:p>
    <w:p w14:paraId="60E83671">
      <w:pPr>
        <w:spacing w:line="440" w:lineRule="exact"/>
        <w:ind w:firstLine="480" w:firstLineChars="200"/>
        <w:rPr>
          <w:rFonts w:hint="eastAsia" w:ascii="宋体" w:hAnsi="宋体" w:cs="宋体"/>
          <w:sz w:val="24"/>
        </w:rPr>
      </w:pPr>
      <w:r>
        <w:rPr>
          <w:rFonts w:hint="eastAsia" w:ascii="宋体" w:hAnsi="宋体" w:cs="宋体"/>
          <w:sz w:val="24"/>
        </w:rPr>
        <w:t>4.7我的课程：学员已参加课程计划。</w:t>
      </w:r>
    </w:p>
    <w:p w14:paraId="081D3077">
      <w:pPr>
        <w:spacing w:line="440" w:lineRule="exact"/>
        <w:ind w:firstLine="480" w:firstLineChars="200"/>
        <w:rPr>
          <w:rFonts w:hint="eastAsia" w:ascii="宋体" w:hAnsi="宋体" w:cs="宋体"/>
          <w:sz w:val="24"/>
        </w:rPr>
      </w:pPr>
      <w:r>
        <w:rPr>
          <w:rFonts w:hint="eastAsia" w:ascii="宋体" w:hAnsi="宋体" w:cs="宋体"/>
          <w:sz w:val="24"/>
        </w:rPr>
        <w:t>4.8我的考试：指派给当前学生的考试数据。</w:t>
      </w:r>
    </w:p>
    <w:p w14:paraId="4237C58E">
      <w:pPr>
        <w:spacing w:line="440" w:lineRule="exact"/>
        <w:ind w:firstLine="480" w:firstLineChars="200"/>
        <w:rPr>
          <w:rFonts w:hint="eastAsia" w:ascii="宋体" w:hAnsi="宋体" w:cs="宋体"/>
          <w:sz w:val="24"/>
        </w:rPr>
      </w:pPr>
      <w:r>
        <w:rPr>
          <w:rFonts w:hint="eastAsia" w:ascii="宋体" w:hAnsi="宋体" w:cs="宋体"/>
          <w:sz w:val="24"/>
        </w:rPr>
        <w:t>4.9我的证书：学生通过学习、考试获得的证书内容</w:t>
      </w:r>
      <w:r>
        <w:rPr>
          <w:rFonts w:ascii="宋体" w:hAnsi="宋体" w:cs="宋体"/>
          <w:sz w:val="24"/>
        </w:rPr>
        <w:t>。</w:t>
      </w:r>
    </w:p>
    <w:p w14:paraId="5A34571E">
      <w:pPr>
        <w:snapToGrid w:val="0"/>
        <w:spacing w:line="420" w:lineRule="exact"/>
        <w:ind w:firstLine="480"/>
        <w:rPr>
          <w:rFonts w:hint="eastAsia" w:ascii="宋体" w:hAnsi="宋体" w:cs="宋体"/>
          <w:bCs/>
          <w:sz w:val="24"/>
        </w:rPr>
      </w:pPr>
      <w:r>
        <w:rPr>
          <w:rFonts w:hint="eastAsia" w:ascii="宋体" w:hAnsi="宋体" w:cs="宋体"/>
          <w:bCs/>
          <w:sz w:val="24"/>
        </w:rPr>
        <w:t>六、检验和验收</w:t>
      </w:r>
    </w:p>
    <w:p w14:paraId="723C4301">
      <w:pPr>
        <w:pStyle w:val="14"/>
        <w:overflowPunct w:val="0"/>
        <w:spacing w:line="440" w:lineRule="exact"/>
        <w:ind w:firstLine="367" w:firstLineChars="175"/>
        <w:rPr>
          <w:rFonts w:hint="eastAsia" w:hAnsi="宋体" w:cs="宋体"/>
        </w:rPr>
      </w:pPr>
      <w:r>
        <w:rPr>
          <w:rFonts w:hint="eastAsia" w:hAnsi="宋体" w:cs="宋体"/>
        </w:rPr>
        <w:t>为约束投标人如实提供相关技术指标，避免在投标过程中过度应答造成技术风险，本项目特将交付验收分为两阶段，阶段一:资源交付验收，阶段二:技术指标达标验收。</w:t>
      </w:r>
    </w:p>
    <w:p w14:paraId="438F5FED">
      <w:pPr>
        <w:pStyle w:val="14"/>
        <w:overflowPunct w:val="0"/>
        <w:spacing w:line="440" w:lineRule="exact"/>
        <w:ind w:firstLine="367" w:firstLineChars="175"/>
        <w:rPr>
          <w:rFonts w:hint="eastAsia" w:hAnsi="宋体" w:cs="宋体"/>
        </w:rPr>
      </w:pPr>
      <w:r>
        <w:rPr>
          <w:rFonts w:hint="eastAsia" w:hAnsi="宋体" w:cs="宋体"/>
        </w:rPr>
        <w:t>资源交付验收:定义为光缆全程贯通，所有站点具备安装加电条件(或已经完成加电)，全程无大跨损跨段，通过仿真评估或已经调测开通，认为本项目规划的 OTN 系统能够端到端开通业务，开通保护，0SNR余量达标。</w:t>
      </w:r>
    </w:p>
    <w:p w14:paraId="344D56E5">
      <w:pPr>
        <w:pStyle w:val="14"/>
        <w:overflowPunct w:val="0"/>
        <w:spacing w:line="440" w:lineRule="exact"/>
        <w:ind w:firstLine="367" w:firstLineChars="175"/>
        <w:rPr>
          <w:rFonts w:hint="eastAsia" w:hAnsi="宋体" w:cs="宋体"/>
        </w:rPr>
      </w:pPr>
      <w:r>
        <w:rPr>
          <w:rFonts w:hint="eastAsia" w:hAnsi="宋体" w:cs="宋体"/>
        </w:rPr>
        <w:t>技术指标达标验收:定义为投标人交付的线路光缆资源、中继站资源均达到或优于投标时所承诺的技术指标，则认定资源已经达标，可支付施工费尾款。技术指标是本技术需求书中要求的或者投标人技术应答中所有承诺的相关指标，包括但不限于光缆敷设方式、光缆线路长度、跨段损耗、光缆类型，中继站选址、中继站环境、动力环境监测系统，运维人员、运维能力要求等。</w:t>
      </w:r>
    </w:p>
    <w:p w14:paraId="1D75EF2C">
      <w:pPr>
        <w:pStyle w:val="14"/>
        <w:overflowPunct w:val="0"/>
        <w:spacing w:line="440" w:lineRule="exact"/>
        <w:ind w:firstLine="367" w:firstLineChars="175"/>
        <w:rPr>
          <w:rFonts w:hint="eastAsia" w:hAnsi="宋体" w:cs="宋体"/>
        </w:rPr>
      </w:pPr>
      <w:r>
        <w:rPr>
          <w:rFonts w:hint="eastAsia" w:hAnsi="宋体" w:cs="宋体"/>
        </w:rPr>
        <w:t>投标人不得随意发起“资源交付验收”和“技术指标达标验收”邀请，对于第一次验收不通过的，15 天之后才可再次发起第二次验收邀请。对于第二次验收不通过的，30天之后才可再次发起第三次验收邀请</w:t>
      </w:r>
    </w:p>
    <w:p w14:paraId="69A9F9F8">
      <w:pPr>
        <w:snapToGrid w:val="0"/>
        <w:spacing w:line="420" w:lineRule="exact"/>
        <w:ind w:firstLine="480"/>
        <w:rPr>
          <w:rFonts w:hint="eastAsia" w:ascii="宋体" w:hAnsi="宋体" w:cs="宋体"/>
          <w:bCs/>
          <w:sz w:val="24"/>
        </w:rPr>
      </w:pPr>
      <w:r>
        <w:rPr>
          <w:rFonts w:hint="eastAsia" w:ascii="宋体" w:hAnsi="宋体" w:cs="宋体"/>
          <w:bCs/>
          <w:sz w:val="24"/>
        </w:rPr>
        <w:t>七、质保及维保期：</w:t>
      </w:r>
    </w:p>
    <w:p w14:paraId="3075FB52">
      <w:pPr>
        <w:spacing w:line="440" w:lineRule="exact"/>
        <w:ind w:firstLine="480" w:firstLineChars="200"/>
        <w:rPr>
          <w:rFonts w:hint="eastAsia" w:ascii="宋体" w:hAnsi="宋体" w:cs="宋体"/>
          <w:b/>
          <w:sz w:val="24"/>
        </w:rPr>
      </w:pPr>
      <w:r>
        <w:rPr>
          <w:rFonts w:hint="eastAsia" w:ascii="宋体" w:hAnsi="宋体" w:cs="宋体"/>
          <w:sz w:val="24"/>
        </w:rPr>
        <w:t>1、乙方确保在移交时，所有系统及设备的正常运转。</w:t>
      </w:r>
    </w:p>
    <w:p w14:paraId="241CEED1">
      <w:pPr>
        <w:tabs>
          <w:tab w:val="left" w:pos="2127"/>
        </w:tabs>
        <w:spacing w:line="440" w:lineRule="exact"/>
        <w:ind w:firstLine="480" w:firstLineChars="200"/>
        <w:rPr>
          <w:rFonts w:hint="eastAsia" w:ascii="宋体" w:hAnsi="宋体" w:cs="宋体"/>
          <w:sz w:val="24"/>
        </w:rPr>
      </w:pPr>
      <w:r>
        <w:rPr>
          <w:rFonts w:hint="eastAsia" w:ascii="宋体" w:hAnsi="宋体" w:cs="宋体"/>
          <w:sz w:val="24"/>
        </w:rPr>
        <w:t>2、本项目质保期为</w:t>
      </w:r>
      <w:r>
        <w:rPr>
          <w:rFonts w:hint="eastAsia" w:ascii="宋体" w:hAnsi="宋体" w:cs="宋体"/>
          <w:sz w:val="24"/>
          <w:u w:val="single"/>
        </w:rPr>
        <w:t>壹</w:t>
      </w:r>
      <w:r>
        <w:rPr>
          <w:rFonts w:hint="eastAsia" w:ascii="宋体" w:hAnsi="宋体" w:cs="宋体"/>
          <w:sz w:val="24"/>
        </w:rPr>
        <w:t>年。自项目验收合格之日起计算。</w:t>
      </w:r>
    </w:p>
    <w:p w14:paraId="1F639A8B">
      <w:pPr>
        <w:tabs>
          <w:tab w:val="left" w:pos="2127"/>
        </w:tabs>
        <w:spacing w:line="440" w:lineRule="exact"/>
        <w:ind w:firstLine="480" w:firstLineChars="200"/>
        <w:rPr>
          <w:rFonts w:hint="eastAsia" w:ascii="宋体" w:hAnsi="宋体" w:cs="宋体"/>
          <w:sz w:val="24"/>
        </w:rPr>
      </w:pPr>
      <w:r>
        <w:rPr>
          <w:rFonts w:hint="eastAsia" w:ascii="宋体" w:hAnsi="宋体" w:cs="宋体"/>
          <w:sz w:val="24"/>
        </w:rPr>
        <w:t>3、由乙方原因造成的损毁、障碍及财产人身、安全责任事故，则由乙方承担相应的责任；若因不可抗力及非乙方原因造成的损毁或者障碍及其他问题（不包括因防雷措施不到位引起的雷击），乙方不承担任何法律责任。</w:t>
      </w:r>
    </w:p>
    <w:p w14:paraId="38F9FD8B">
      <w:pPr>
        <w:snapToGrid w:val="0"/>
        <w:spacing w:line="420" w:lineRule="exact"/>
        <w:ind w:firstLine="480"/>
        <w:rPr>
          <w:rFonts w:hint="eastAsia" w:ascii="宋体" w:hAnsi="宋体" w:cs="宋体"/>
          <w:bCs/>
          <w:sz w:val="24"/>
        </w:rPr>
      </w:pPr>
      <w:r>
        <w:rPr>
          <w:rFonts w:hint="eastAsia" w:ascii="宋体" w:hAnsi="宋体" w:cs="宋体"/>
          <w:bCs/>
          <w:sz w:val="24"/>
        </w:rPr>
        <w:t>八、不可抗力</w:t>
      </w:r>
    </w:p>
    <w:p w14:paraId="10CAEB5E">
      <w:pPr>
        <w:spacing w:line="440" w:lineRule="exact"/>
        <w:ind w:firstLine="480" w:firstLineChars="200"/>
        <w:rPr>
          <w:rFonts w:hint="eastAsia" w:ascii="宋体" w:hAnsi="宋体" w:cs="宋体"/>
          <w:sz w:val="24"/>
        </w:rPr>
      </w:pPr>
      <w:r>
        <w:rPr>
          <w:rFonts w:hint="eastAsia" w:ascii="宋体" w:hAnsi="宋体" w:cs="宋体"/>
          <w:sz w:val="24"/>
        </w:rPr>
        <w:t>因水灾、火灾、地震、战争、公共传染疾病等不可抗力不能履行合同的，根据不可抗力的影响，免除相应责任。但合同一方迟延履行后发生不可抗力的，不能免除责任。</w:t>
      </w:r>
    </w:p>
    <w:p w14:paraId="47DDE15A">
      <w:pPr>
        <w:snapToGrid w:val="0"/>
        <w:spacing w:line="420" w:lineRule="exact"/>
        <w:ind w:firstLine="480"/>
        <w:rPr>
          <w:rFonts w:hint="eastAsia" w:ascii="宋体" w:hAnsi="宋体" w:cs="宋体"/>
          <w:bCs/>
          <w:sz w:val="24"/>
        </w:rPr>
      </w:pPr>
      <w:r>
        <w:rPr>
          <w:rFonts w:hint="eastAsia" w:ascii="宋体" w:hAnsi="宋体" w:cs="宋体"/>
          <w:bCs/>
          <w:sz w:val="24"/>
        </w:rPr>
        <w:t>九、违约责任</w:t>
      </w:r>
    </w:p>
    <w:p w14:paraId="4E4E37F6">
      <w:pPr>
        <w:spacing w:line="460" w:lineRule="exact"/>
        <w:ind w:firstLine="480" w:firstLineChars="200"/>
        <w:rPr>
          <w:rFonts w:hint="eastAsia" w:hAnsi="宋体" w:cs="宋体"/>
        </w:rPr>
      </w:pPr>
      <w:r>
        <w:rPr>
          <w:rFonts w:hint="eastAsia" w:ascii="宋体" w:hAnsi="宋体" w:cs="宋体"/>
          <w:sz w:val="24"/>
        </w:rPr>
        <w:t>合同一方不履行合同义务或者履行合同义务不符合约定的，应当承担继续履行、采取补救措施或者赔偿损失等违约责任。（损失包括但不限于相关损失、损害赔偿、诉讼费、律师费、保险费、保全费、申请强制执行费等）。</w:t>
      </w:r>
      <w:r>
        <w:rPr>
          <w:rFonts w:hint="eastAsia" w:hAnsi="宋体" w:cs="宋体"/>
        </w:rPr>
        <w:t xml:space="preserve">                                        </w:t>
      </w:r>
    </w:p>
    <w:p w14:paraId="3DB7AAC0">
      <w:pPr>
        <w:snapToGrid w:val="0"/>
        <w:spacing w:line="420" w:lineRule="exact"/>
        <w:ind w:firstLine="480"/>
        <w:rPr>
          <w:rFonts w:hint="eastAsia" w:ascii="宋体" w:hAnsi="宋体" w:cs="宋体"/>
          <w:bCs/>
          <w:sz w:val="24"/>
        </w:rPr>
      </w:pPr>
      <w:r>
        <w:rPr>
          <w:rFonts w:hint="eastAsia" w:ascii="宋体" w:hAnsi="宋体" w:cs="宋体"/>
          <w:bCs/>
          <w:sz w:val="24"/>
        </w:rPr>
        <w:t>十、项目变更</w:t>
      </w:r>
    </w:p>
    <w:p w14:paraId="6A0CE390">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1、根据项目的客观情况或者技术进步原因，经甲乙双方共同书面确认后可以对本项目部分设备或者系统进行变更、增减及技术方案的调整。</w:t>
      </w:r>
    </w:p>
    <w:p w14:paraId="5BE6EE26">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2、变更或者增补的设备、系统，在本合同中有价格的按本合同单价进行计算。</w:t>
      </w:r>
    </w:p>
    <w:p w14:paraId="003365BF">
      <w:pPr>
        <w:snapToGrid w:val="0"/>
        <w:spacing w:line="420" w:lineRule="exact"/>
        <w:ind w:firstLine="480"/>
        <w:rPr>
          <w:rFonts w:hint="eastAsia" w:ascii="宋体" w:hAnsi="宋体" w:cs="宋体"/>
          <w:bCs/>
          <w:sz w:val="24"/>
        </w:rPr>
      </w:pPr>
      <w:r>
        <w:rPr>
          <w:rFonts w:hint="eastAsia" w:ascii="宋体" w:hAnsi="宋体" w:cs="宋体"/>
          <w:bCs/>
          <w:sz w:val="24"/>
        </w:rPr>
        <w:t>十一、送达条款</w:t>
      </w:r>
    </w:p>
    <w:p w14:paraId="2532F3F2">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本合同联系方式和联系信息适用于双方往来联系、书面文件送达及争议解决时法律文书送达。因联系方式和联系信息错误而无法直接送达的自交邮后第7日视为送达。双方指定联系地址与联系方式如下:</w:t>
      </w:r>
    </w:p>
    <w:p w14:paraId="02C5E2BE">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甲方联系人:XXX，联系电话:XXX，联系地址:XXX，邮编:XXXX，传真:XXX，电子邮箱:XXX</w:t>
      </w:r>
    </w:p>
    <w:p w14:paraId="5414B78F">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乙方联系人:XXX，联系电话:XXX，联系地址:XXX，邮编:XXX，传真:XXX，电子邮箱:XXX</w:t>
      </w:r>
    </w:p>
    <w:p w14:paraId="49F95290">
      <w:pPr>
        <w:snapToGrid w:val="0"/>
        <w:spacing w:line="420" w:lineRule="exact"/>
        <w:ind w:firstLine="480"/>
        <w:rPr>
          <w:rFonts w:hint="eastAsia" w:ascii="宋体" w:hAnsi="宋体" w:cs="宋体"/>
          <w:bCs/>
          <w:sz w:val="24"/>
        </w:rPr>
      </w:pPr>
      <w:r>
        <w:rPr>
          <w:rFonts w:hint="eastAsia" w:ascii="宋体" w:hAnsi="宋体" w:cs="宋体"/>
          <w:bCs/>
          <w:sz w:val="24"/>
        </w:rPr>
        <w:t>十二、其他</w:t>
      </w:r>
    </w:p>
    <w:p w14:paraId="4029BA5A">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rPr>
        <w:t>1</w:t>
      </w:r>
      <w:r>
        <w:rPr>
          <w:rFonts w:hint="eastAsia" w:ascii="宋体" w:hAnsi="宋体" w:cs="宋体"/>
          <w:sz w:val="24"/>
          <w:lang w:val="zh-CN"/>
        </w:rPr>
        <w:t>、本合同协议书、甲乙双方有关项目的洽商、变更等书面协议或文件视为本合同的组成部分。</w:t>
      </w:r>
    </w:p>
    <w:p w14:paraId="7BEAE469">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lang w:val="zh-CN"/>
        </w:rPr>
        <w:t>2、在合同实际履行过程中，乙方若了解到实际业主单位并非甲方的，乙方通知甲方整改。如不能及时整改的，可依法解除合同，并追究甲方的缔约过失责任，要求甲方承担赔偿责任。</w:t>
      </w:r>
    </w:p>
    <w:p w14:paraId="047A02C6">
      <w:pPr>
        <w:autoSpaceDE w:val="0"/>
        <w:autoSpaceDN w:val="0"/>
        <w:adjustRightInd w:val="0"/>
        <w:spacing w:line="460" w:lineRule="exact"/>
        <w:ind w:firstLine="482"/>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val="zh-CN"/>
        </w:rPr>
        <w:t>、合同经甲乙双方加盖公章（或合同章）后即生效，至双方义务均履行完毕后终止。</w:t>
      </w:r>
    </w:p>
    <w:p w14:paraId="4F19BD1D">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lang w:val="en-US" w:eastAsia="zh-CN"/>
        </w:rPr>
        <w:t>4</w:t>
      </w:r>
      <w:r>
        <w:rPr>
          <w:rFonts w:hint="eastAsia" w:ascii="宋体" w:hAnsi="宋体" w:cs="宋体"/>
          <w:sz w:val="24"/>
          <w:lang w:val="zh-CN"/>
        </w:rPr>
        <w:t>、合同执行过程中出现的问题应按照《中华人民共和国民法典》的规定办理。在合同履行过程中，双方如有争议可协商解决，协商不成，</w:t>
      </w:r>
      <w:r>
        <w:rPr>
          <w:rFonts w:hint="eastAsia" w:ascii="宋体" w:hAnsi="宋体" w:cs="宋体"/>
          <w:sz w:val="24"/>
        </w:rPr>
        <w:t>可</w:t>
      </w:r>
      <w:r>
        <w:rPr>
          <w:rFonts w:hint="eastAsia" w:ascii="宋体" w:hAnsi="宋体" w:cs="宋体"/>
          <w:sz w:val="24"/>
          <w:lang w:val="zh-CN"/>
        </w:rPr>
        <w:t>向项目所在地法院提起诉讼。</w:t>
      </w:r>
    </w:p>
    <w:p w14:paraId="0DB84159">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lang w:val="en-US" w:eastAsia="zh-CN"/>
        </w:rPr>
        <w:t>5</w:t>
      </w:r>
      <w:r>
        <w:rPr>
          <w:rFonts w:hint="eastAsia" w:ascii="宋体" w:hAnsi="宋体" w:cs="宋体"/>
          <w:sz w:val="24"/>
          <w:lang w:val="zh-CN"/>
        </w:rPr>
        <w:t>、本合同一式</w:t>
      </w:r>
      <w:r>
        <w:rPr>
          <w:rFonts w:hint="eastAsia" w:ascii="宋体" w:hAnsi="宋体" w:cs="宋体"/>
          <w:sz w:val="24"/>
        </w:rPr>
        <w:t>肆</w:t>
      </w:r>
      <w:r>
        <w:rPr>
          <w:rFonts w:hint="eastAsia" w:ascii="宋体" w:hAnsi="宋体" w:cs="宋体"/>
          <w:sz w:val="24"/>
          <w:lang w:val="zh-CN"/>
        </w:rPr>
        <w:t>份，甲乙方各持贰份，各份具有同等法律效力。</w:t>
      </w:r>
    </w:p>
    <w:p w14:paraId="649DACF8">
      <w:pPr>
        <w:spacing w:line="360" w:lineRule="auto"/>
        <w:rPr>
          <w:rFonts w:hint="eastAsia" w:ascii="宋体" w:hAnsi="宋体" w:cs="宋体"/>
          <w:sz w:val="24"/>
        </w:rPr>
      </w:pPr>
    </w:p>
    <w:p w14:paraId="09306789">
      <w:pPr>
        <w:spacing w:line="360" w:lineRule="auto"/>
        <w:rPr>
          <w:rFonts w:hint="eastAsia" w:ascii="宋体" w:hAnsi="宋体" w:cs="宋体"/>
          <w:sz w:val="24"/>
        </w:rPr>
      </w:pPr>
      <w:r>
        <w:rPr>
          <w:rFonts w:hint="eastAsia" w:ascii="宋体" w:hAnsi="宋体" w:cs="宋体"/>
          <w:sz w:val="24"/>
        </w:rPr>
        <w:t>甲方(全称)：南京铁马信息技术有限公司</w:t>
      </w:r>
    </w:p>
    <w:p w14:paraId="6BF37B88">
      <w:pPr>
        <w:spacing w:line="360" w:lineRule="auto"/>
        <w:rPr>
          <w:rFonts w:hint="eastAsia" w:ascii="宋体" w:hAnsi="宋体" w:cs="宋体"/>
          <w:sz w:val="24"/>
        </w:rPr>
      </w:pPr>
      <w:r>
        <w:rPr>
          <w:rFonts w:hint="eastAsia" w:ascii="宋体" w:hAnsi="宋体" w:cs="宋体"/>
          <w:sz w:val="24"/>
        </w:rPr>
        <w:t>单位名称（章）：</w:t>
      </w:r>
    </w:p>
    <w:p w14:paraId="0B115728">
      <w:pPr>
        <w:spacing w:line="360" w:lineRule="auto"/>
        <w:rPr>
          <w:rFonts w:hint="eastAsia" w:ascii="宋体" w:hAnsi="宋体" w:cs="宋体"/>
          <w:sz w:val="24"/>
        </w:rPr>
      </w:pPr>
      <w:r>
        <w:rPr>
          <w:rFonts w:hint="eastAsia" w:ascii="宋体" w:hAnsi="宋体" w:cs="宋体"/>
          <w:sz w:val="24"/>
        </w:rPr>
        <w:t>签字：</w:t>
      </w:r>
    </w:p>
    <w:p w14:paraId="2FA36C90">
      <w:pPr>
        <w:spacing w:line="360" w:lineRule="auto"/>
        <w:ind w:firstLine="1200" w:firstLineChars="500"/>
        <w:rPr>
          <w:rFonts w:hint="eastAsia" w:ascii="宋体" w:hAnsi="宋体" w:cs="宋体"/>
          <w:sz w:val="24"/>
        </w:rPr>
      </w:pPr>
      <w:r>
        <w:rPr>
          <w:rFonts w:hint="eastAsia" w:ascii="宋体" w:hAnsi="宋体" w:cs="宋体"/>
          <w:sz w:val="24"/>
        </w:rPr>
        <w:t>年  月  日</w:t>
      </w:r>
    </w:p>
    <w:p w14:paraId="33BE52CB">
      <w:pPr>
        <w:spacing w:line="360" w:lineRule="auto"/>
        <w:rPr>
          <w:rFonts w:hint="eastAsia" w:ascii="宋体" w:hAnsi="宋体" w:cs="宋体"/>
          <w:sz w:val="24"/>
        </w:rPr>
      </w:pPr>
      <w:r>
        <w:rPr>
          <w:rFonts w:hint="eastAsia" w:ascii="宋体" w:hAnsi="宋体" w:cs="宋体"/>
          <w:sz w:val="24"/>
        </w:rPr>
        <w:t>乙方(全称)：</w:t>
      </w:r>
    </w:p>
    <w:p w14:paraId="567C3E6C">
      <w:pPr>
        <w:spacing w:line="360" w:lineRule="auto"/>
        <w:rPr>
          <w:rFonts w:hint="eastAsia" w:ascii="宋体" w:hAnsi="宋体" w:cs="宋体"/>
          <w:sz w:val="24"/>
        </w:rPr>
      </w:pPr>
      <w:r>
        <w:rPr>
          <w:rFonts w:hint="eastAsia" w:ascii="宋体" w:hAnsi="宋体" w:cs="宋体"/>
          <w:sz w:val="24"/>
        </w:rPr>
        <w:t>单位名称（章）：</w:t>
      </w:r>
    </w:p>
    <w:p w14:paraId="437FDD9D">
      <w:pPr>
        <w:spacing w:line="360" w:lineRule="auto"/>
        <w:rPr>
          <w:rFonts w:hint="eastAsia" w:ascii="宋体" w:hAnsi="宋体" w:cs="宋体"/>
          <w:sz w:val="24"/>
        </w:rPr>
      </w:pPr>
      <w:r>
        <w:rPr>
          <w:rFonts w:hint="eastAsia" w:ascii="宋体" w:hAnsi="宋体" w:cs="宋体"/>
          <w:sz w:val="24"/>
        </w:rPr>
        <w:t>签字：</w:t>
      </w:r>
    </w:p>
    <w:p w14:paraId="296F215F">
      <w:pPr>
        <w:spacing w:line="360" w:lineRule="auto"/>
        <w:ind w:firstLine="1200" w:firstLineChars="500"/>
        <w:rPr>
          <w:rFonts w:hint="eastAsia" w:ascii="宋体" w:hAnsi="宋体" w:cs="宋体"/>
          <w:sz w:val="24"/>
        </w:rPr>
      </w:pPr>
      <w:r>
        <w:rPr>
          <w:rFonts w:hint="eastAsia" w:ascii="宋体" w:hAnsi="宋体" w:cs="宋体"/>
          <w:sz w:val="24"/>
        </w:rPr>
        <w:t>年  月  日</w:t>
      </w:r>
    </w:p>
    <w:p w14:paraId="11BC48AC">
      <w:pPr>
        <w:pStyle w:val="2"/>
      </w:pPr>
      <w:r>
        <w:rPr>
          <w:rFonts w:hint="eastAsia"/>
        </w:rPr>
        <w:t>评分标准</w:t>
      </w:r>
    </w:p>
    <w:p w14:paraId="0BBA195A">
      <w:pPr>
        <w:ind w:firstLine="420" w:firstLineChars="200"/>
      </w:pPr>
      <w:r>
        <w:rPr>
          <w:rFonts w:hint="eastAsia"/>
        </w:rPr>
        <w:t>评标办法：最低价中标法，从满足招标文件实质性要求的投标人中，报价最低者中标。</w:t>
      </w:r>
    </w:p>
    <w:p w14:paraId="717C86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24D60"/>
    <w:multiLevelType w:val="singleLevel"/>
    <w:tmpl w:val="85624D60"/>
    <w:lvl w:ilvl="0" w:tentative="0">
      <w:start w:val="1"/>
      <w:numFmt w:val="chineseCounting"/>
      <w:suff w:val="nothing"/>
      <w:lvlText w:val="（%1）"/>
      <w:lvlJc w:val="left"/>
      <w:rPr>
        <w:rFonts w:hint="eastAsia"/>
      </w:rPr>
    </w:lvl>
  </w:abstractNum>
  <w:abstractNum w:abstractNumId="1">
    <w:nsid w:val="C0969407"/>
    <w:multiLevelType w:val="singleLevel"/>
    <w:tmpl w:val="C0969407"/>
    <w:lvl w:ilvl="0" w:tentative="0">
      <w:start w:val="1"/>
      <w:numFmt w:val="decimal"/>
      <w:suff w:val="nothing"/>
      <w:lvlText w:val="%1、"/>
      <w:lvlJc w:val="left"/>
    </w:lvl>
  </w:abstractNum>
  <w:abstractNum w:abstractNumId="2">
    <w:nsid w:val="46137EDD"/>
    <w:multiLevelType w:val="multilevel"/>
    <w:tmpl w:val="46137EDD"/>
    <w:lvl w:ilvl="0" w:tentative="0">
      <w:start w:val="1"/>
      <w:numFmt w:val="decimal"/>
      <w:pStyle w:val="2"/>
      <w:lvlText w:val="第%1章 "/>
      <w:lvlJc w:val="left"/>
      <w:pPr>
        <w:ind w:left="420" w:hanging="42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C921525"/>
    <w:multiLevelType w:val="singleLevel"/>
    <w:tmpl w:val="4C921525"/>
    <w:lvl w:ilvl="0" w:tentative="0">
      <w:start w:val="1"/>
      <w:numFmt w:val="decimal"/>
      <w:suff w:val="nothing"/>
      <w:lvlText w:val="（%1）"/>
      <w:lvlJc w:val="left"/>
    </w:lvl>
  </w:abstractNum>
  <w:abstractNum w:abstractNumId="4">
    <w:nsid w:val="71D0918C"/>
    <w:multiLevelType w:val="singleLevel"/>
    <w:tmpl w:val="71D0918C"/>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9E"/>
    <w:rsid w:val="00003C0D"/>
    <w:rsid w:val="00004719"/>
    <w:rsid w:val="00005B5F"/>
    <w:rsid w:val="00013549"/>
    <w:rsid w:val="00014293"/>
    <w:rsid w:val="00021F31"/>
    <w:rsid w:val="000257B0"/>
    <w:rsid w:val="00034339"/>
    <w:rsid w:val="00040A0B"/>
    <w:rsid w:val="00047639"/>
    <w:rsid w:val="00064068"/>
    <w:rsid w:val="00071C84"/>
    <w:rsid w:val="000762BD"/>
    <w:rsid w:val="0007639B"/>
    <w:rsid w:val="00080543"/>
    <w:rsid w:val="00084042"/>
    <w:rsid w:val="000939DC"/>
    <w:rsid w:val="000A15BF"/>
    <w:rsid w:val="000B39B1"/>
    <w:rsid w:val="000D29CC"/>
    <w:rsid w:val="000D3FD4"/>
    <w:rsid w:val="000D5039"/>
    <w:rsid w:val="000E5E46"/>
    <w:rsid w:val="000E7E54"/>
    <w:rsid w:val="000F7475"/>
    <w:rsid w:val="00104CE2"/>
    <w:rsid w:val="001167C0"/>
    <w:rsid w:val="00122546"/>
    <w:rsid w:val="00135427"/>
    <w:rsid w:val="00136962"/>
    <w:rsid w:val="00164853"/>
    <w:rsid w:val="001760DB"/>
    <w:rsid w:val="001813AA"/>
    <w:rsid w:val="00185850"/>
    <w:rsid w:val="00193C4B"/>
    <w:rsid w:val="001950B0"/>
    <w:rsid w:val="001955ED"/>
    <w:rsid w:val="001A003E"/>
    <w:rsid w:val="001C5E83"/>
    <w:rsid w:val="001E712D"/>
    <w:rsid w:val="00204497"/>
    <w:rsid w:val="00207938"/>
    <w:rsid w:val="0022791A"/>
    <w:rsid w:val="00243A23"/>
    <w:rsid w:val="002468A7"/>
    <w:rsid w:val="00265653"/>
    <w:rsid w:val="00295A4A"/>
    <w:rsid w:val="002A1A0E"/>
    <w:rsid w:val="002B06B1"/>
    <w:rsid w:val="002B34DE"/>
    <w:rsid w:val="002B63EF"/>
    <w:rsid w:val="002C1C43"/>
    <w:rsid w:val="002C4080"/>
    <w:rsid w:val="002F2F08"/>
    <w:rsid w:val="00305D56"/>
    <w:rsid w:val="003160BE"/>
    <w:rsid w:val="00321272"/>
    <w:rsid w:val="00321DCC"/>
    <w:rsid w:val="00324206"/>
    <w:rsid w:val="00333CB4"/>
    <w:rsid w:val="00344CA3"/>
    <w:rsid w:val="00344CFF"/>
    <w:rsid w:val="00345748"/>
    <w:rsid w:val="00361329"/>
    <w:rsid w:val="00371BAF"/>
    <w:rsid w:val="0037349B"/>
    <w:rsid w:val="0037351C"/>
    <w:rsid w:val="00377E01"/>
    <w:rsid w:val="00383DD4"/>
    <w:rsid w:val="003913DC"/>
    <w:rsid w:val="00391767"/>
    <w:rsid w:val="00397010"/>
    <w:rsid w:val="003A565B"/>
    <w:rsid w:val="003B6593"/>
    <w:rsid w:val="003B66C6"/>
    <w:rsid w:val="003C2C4E"/>
    <w:rsid w:val="003C7D2C"/>
    <w:rsid w:val="003E346A"/>
    <w:rsid w:val="003E351F"/>
    <w:rsid w:val="003F4F24"/>
    <w:rsid w:val="00420704"/>
    <w:rsid w:val="00422670"/>
    <w:rsid w:val="00441A8E"/>
    <w:rsid w:val="00451753"/>
    <w:rsid w:val="00453D7D"/>
    <w:rsid w:val="004545BE"/>
    <w:rsid w:val="0045481A"/>
    <w:rsid w:val="00457C0A"/>
    <w:rsid w:val="00464045"/>
    <w:rsid w:val="00474D2B"/>
    <w:rsid w:val="0047509A"/>
    <w:rsid w:val="00492D2F"/>
    <w:rsid w:val="00497D4B"/>
    <w:rsid w:val="004A4A8D"/>
    <w:rsid w:val="004B1817"/>
    <w:rsid w:val="004B2495"/>
    <w:rsid w:val="004C527E"/>
    <w:rsid w:val="004D4D0A"/>
    <w:rsid w:val="004D6EC9"/>
    <w:rsid w:val="004D709D"/>
    <w:rsid w:val="004E1357"/>
    <w:rsid w:val="004E14BC"/>
    <w:rsid w:val="004E7B93"/>
    <w:rsid w:val="00513BEC"/>
    <w:rsid w:val="00523663"/>
    <w:rsid w:val="00530DB2"/>
    <w:rsid w:val="00547F5B"/>
    <w:rsid w:val="00555657"/>
    <w:rsid w:val="00555958"/>
    <w:rsid w:val="005B247C"/>
    <w:rsid w:val="005B5FE8"/>
    <w:rsid w:val="005C007E"/>
    <w:rsid w:val="005D238B"/>
    <w:rsid w:val="005E0D23"/>
    <w:rsid w:val="005E2C1B"/>
    <w:rsid w:val="005E4909"/>
    <w:rsid w:val="005F1EFE"/>
    <w:rsid w:val="0061328D"/>
    <w:rsid w:val="00616F5E"/>
    <w:rsid w:val="00621701"/>
    <w:rsid w:val="0063397A"/>
    <w:rsid w:val="00637B62"/>
    <w:rsid w:val="006425A0"/>
    <w:rsid w:val="00643828"/>
    <w:rsid w:val="0065392E"/>
    <w:rsid w:val="006728A0"/>
    <w:rsid w:val="006731CA"/>
    <w:rsid w:val="006819D4"/>
    <w:rsid w:val="00684E3B"/>
    <w:rsid w:val="00684EEE"/>
    <w:rsid w:val="006A165A"/>
    <w:rsid w:val="006A5217"/>
    <w:rsid w:val="006B357D"/>
    <w:rsid w:val="006B49E4"/>
    <w:rsid w:val="006B50A1"/>
    <w:rsid w:val="006C15BB"/>
    <w:rsid w:val="006D1EF6"/>
    <w:rsid w:val="006D31A8"/>
    <w:rsid w:val="006E3921"/>
    <w:rsid w:val="006F5D97"/>
    <w:rsid w:val="00721DD3"/>
    <w:rsid w:val="00722F90"/>
    <w:rsid w:val="00731874"/>
    <w:rsid w:val="00736E95"/>
    <w:rsid w:val="007403D9"/>
    <w:rsid w:val="00764561"/>
    <w:rsid w:val="00764CB2"/>
    <w:rsid w:val="00771F9F"/>
    <w:rsid w:val="007A49E7"/>
    <w:rsid w:val="007B266E"/>
    <w:rsid w:val="007B665A"/>
    <w:rsid w:val="007B6F27"/>
    <w:rsid w:val="007C2B92"/>
    <w:rsid w:val="007C2F07"/>
    <w:rsid w:val="007C6BF4"/>
    <w:rsid w:val="007C74EA"/>
    <w:rsid w:val="007E1D88"/>
    <w:rsid w:val="007E670A"/>
    <w:rsid w:val="007E7B55"/>
    <w:rsid w:val="007E7EC8"/>
    <w:rsid w:val="008043EB"/>
    <w:rsid w:val="00804491"/>
    <w:rsid w:val="008111B0"/>
    <w:rsid w:val="00812ADE"/>
    <w:rsid w:val="00813156"/>
    <w:rsid w:val="0082634F"/>
    <w:rsid w:val="0084161A"/>
    <w:rsid w:val="00862B1A"/>
    <w:rsid w:val="008813EC"/>
    <w:rsid w:val="008876F9"/>
    <w:rsid w:val="00895159"/>
    <w:rsid w:val="0089578D"/>
    <w:rsid w:val="0089583C"/>
    <w:rsid w:val="0089662D"/>
    <w:rsid w:val="00897C62"/>
    <w:rsid w:val="008A18FA"/>
    <w:rsid w:val="008B4CF1"/>
    <w:rsid w:val="008B67DD"/>
    <w:rsid w:val="008B6A98"/>
    <w:rsid w:val="008C0D12"/>
    <w:rsid w:val="008C2A72"/>
    <w:rsid w:val="008C62ED"/>
    <w:rsid w:val="008D3FF9"/>
    <w:rsid w:val="008F2B1A"/>
    <w:rsid w:val="009051F7"/>
    <w:rsid w:val="00913A4A"/>
    <w:rsid w:val="00913E78"/>
    <w:rsid w:val="00914BCE"/>
    <w:rsid w:val="009164F6"/>
    <w:rsid w:val="0092727A"/>
    <w:rsid w:val="0093321D"/>
    <w:rsid w:val="009346CC"/>
    <w:rsid w:val="0094043E"/>
    <w:rsid w:val="009555CB"/>
    <w:rsid w:val="0096235A"/>
    <w:rsid w:val="00963598"/>
    <w:rsid w:val="009719F4"/>
    <w:rsid w:val="009726CE"/>
    <w:rsid w:val="00972DD7"/>
    <w:rsid w:val="00983AAB"/>
    <w:rsid w:val="009842D1"/>
    <w:rsid w:val="009855F8"/>
    <w:rsid w:val="00997BB7"/>
    <w:rsid w:val="009B4C21"/>
    <w:rsid w:val="009B60F5"/>
    <w:rsid w:val="009E04E9"/>
    <w:rsid w:val="009E27DD"/>
    <w:rsid w:val="009E46DE"/>
    <w:rsid w:val="009E6BEF"/>
    <w:rsid w:val="009E6D5B"/>
    <w:rsid w:val="009F2D55"/>
    <w:rsid w:val="00A25F35"/>
    <w:rsid w:val="00A26867"/>
    <w:rsid w:val="00A42624"/>
    <w:rsid w:val="00A42A6F"/>
    <w:rsid w:val="00A5716C"/>
    <w:rsid w:val="00A6084D"/>
    <w:rsid w:val="00A62147"/>
    <w:rsid w:val="00A65D09"/>
    <w:rsid w:val="00A75202"/>
    <w:rsid w:val="00A8468A"/>
    <w:rsid w:val="00A8519D"/>
    <w:rsid w:val="00AA4C66"/>
    <w:rsid w:val="00AA7A2E"/>
    <w:rsid w:val="00AB72AB"/>
    <w:rsid w:val="00AC4EC3"/>
    <w:rsid w:val="00AC640E"/>
    <w:rsid w:val="00AD1963"/>
    <w:rsid w:val="00AD301D"/>
    <w:rsid w:val="00AD3187"/>
    <w:rsid w:val="00AE1FBA"/>
    <w:rsid w:val="00AE3E0B"/>
    <w:rsid w:val="00AE4A2B"/>
    <w:rsid w:val="00AF4CC7"/>
    <w:rsid w:val="00B0629E"/>
    <w:rsid w:val="00B23F3A"/>
    <w:rsid w:val="00B361DA"/>
    <w:rsid w:val="00B441F8"/>
    <w:rsid w:val="00B50198"/>
    <w:rsid w:val="00B53476"/>
    <w:rsid w:val="00B63694"/>
    <w:rsid w:val="00B64001"/>
    <w:rsid w:val="00B736C0"/>
    <w:rsid w:val="00B809BE"/>
    <w:rsid w:val="00B90328"/>
    <w:rsid w:val="00B90489"/>
    <w:rsid w:val="00B9153F"/>
    <w:rsid w:val="00BB24E8"/>
    <w:rsid w:val="00BC38A8"/>
    <w:rsid w:val="00BC7775"/>
    <w:rsid w:val="00BD1FDC"/>
    <w:rsid w:val="00BD6F18"/>
    <w:rsid w:val="00BF2CBE"/>
    <w:rsid w:val="00BF3CBE"/>
    <w:rsid w:val="00C07A08"/>
    <w:rsid w:val="00C12505"/>
    <w:rsid w:val="00C12EAD"/>
    <w:rsid w:val="00C16E99"/>
    <w:rsid w:val="00C4194E"/>
    <w:rsid w:val="00C420A6"/>
    <w:rsid w:val="00C47148"/>
    <w:rsid w:val="00C65DD2"/>
    <w:rsid w:val="00C70326"/>
    <w:rsid w:val="00C847A1"/>
    <w:rsid w:val="00C86895"/>
    <w:rsid w:val="00C95E4C"/>
    <w:rsid w:val="00CA7742"/>
    <w:rsid w:val="00CB0AA7"/>
    <w:rsid w:val="00CC2AF3"/>
    <w:rsid w:val="00CC3A19"/>
    <w:rsid w:val="00CD0BCB"/>
    <w:rsid w:val="00CD48DD"/>
    <w:rsid w:val="00CE1265"/>
    <w:rsid w:val="00CF3E13"/>
    <w:rsid w:val="00CF425F"/>
    <w:rsid w:val="00D005D3"/>
    <w:rsid w:val="00D01553"/>
    <w:rsid w:val="00D05705"/>
    <w:rsid w:val="00D13E7A"/>
    <w:rsid w:val="00D41F1A"/>
    <w:rsid w:val="00D42920"/>
    <w:rsid w:val="00D70CCA"/>
    <w:rsid w:val="00D7111D"/>
    <w:rsid w:val="00D71B06"/>
    <w:rsid w:val="00D72B5D"/>
    <w:rsid w:val="00D85B64"/>
    <w:rsid w:val="00D86CFF"/>
    <w:rsid w:val="00D90D97"/>
    <w:rsid w:val="00D90EB4"/>
    <w:rsid w:val="00DA0587"/>
    <w:rsid w:val="00DB6B1C"/>
    <w:rsid w:val="00DD234F"/>
    <w:rsid w:val="00DD5DF1"/>
    <w:rsid w:val="00E01060"/>
    <w:rsid w:val="00E01151"/>
    <w:rsid w:val="00E119CC"/>
    <w:rsid w:val="00E17EB6"/>
    <w:rsid w:val="00E200BF"/>
    <w:rsid w:val="00E20E9E"/>
    <w:rsid w:val="00E31D7F"/>
    <w:rsid w:val="00E33C05"/>
    <w:rsid w:val="00E37F7C"/>
    <w:rsid w:val="00E4514A"/>
    <w:rsid w:val="00E54F6D"/>
    <w:rsid w:val="00E67D4E"/>
    <w:rsid w:val="00E74CA4"/>
    <w:rsid w:val="00E77536"/>
    <w:rsid w:val="00E80DBE"/>
    <w:rsid w:val="00E8167A"/>
    <w:rsid w:val="00E84056"/>
    <w:rsid w:val="00EB2312"/>
    <w:rsid w:val="00EC0D4C"/>
    <w:rsid w:val="00ED4744"/>
    <w:rsid w:val="00EF14A0"/>
    <w:rsid w:val="00EF2739"/>
    <w:rsid w:val="00EF2E4D"/>
    <w:rsid w:val="00EF466A"/>
    <w:rsid w:val="00F1424E"/>
    <w:rsid w:val="00F2009A"/>
    <w:rsid w:val="00F23392"/>
    <w:rsid w:val="00F4370E"/>
    <w:rsid w:val="00F52831"/>
    <w:rsid w:val="00F54934"/>
    <w:rsid w:val="00F64FFE"/>
    <w:rsid w:val="00F6739B"/>
    <w:rsid w:val="00F71A46"/>
    <w:rsid w:val="00F71D5E"/>
    <w:rsid w:val="00F7696D"/>
    <w:rsid w:val="00F80CEF"/>
    <w:rsid w:val="00F850A0"/>
    <w:rsid w:val="00F8557F"/>
    <w:rsid w:val="00F97FE2"/>
    <w:rsid w:val="00FB0EAE"/>
    <w:rsid w:val="00FB482B"/>
    <w:rsid w:val="00FB51C8"/>
    <w:rsid w:val="00FB7234"/>
    <w:rsid w:val="00FB74EA"/>
    <w:rsid w:val="00FB7FF6"/>
    <w:rsid w:val="00FC5C37"/>
    <w:rsid w:val="00FD5E57"/>
    <w:rsid w:val="00FD7B39"/>
    <w:rsid w:val="00FE54EF"/>
    <w:rsid w:val="02DA2949"/>
    <w:rsid w:val="07D438D1"/>
    <w:rsid w:val="09524F20"/>
    <w:rsid w:val="0C281F69"/>
    <w:rsid w:val="0D374B59"/>
    <w:rsid w:val="0DFA4C23"/>
    <w:rsid w:val="269E759F"/>
    <w:rsid w:val="27BF77CD"/>
    <w:rsid w:val="294206B6"/>
    <w:rsid w:val="2B6F32B8"/>
    <w:rsid w:val="2E232138"/>
    <w:rsid w:val="31AD057D"/>
    <w:rsid w:val="352743C4"/>
    <w:rsid w:val="36ED04AD"/>
    <w:rsid w:val="388757C8"/>
    <w:rsid w:val="3CAB776B"/>
    <w:rsid w:val="418F0E58"/>
    <w:rsid w:val="43DE0B83"/>
    <w:rsid w:val="466054DD"/>
    <w:rsid w:val="499B7B4D"/>
    <w:rsid w:val="4B8F7333"/>
    <w:rsid w:val="4F451353"/>
    <w:rsid w:val="51EB103B"/>
    <w:rsid w:val="544B5DC1"/>
    <w:rsid w:val="55CB540B"/>
    <w:rsid w:val="5C5679F9"/>
    <w:rsid w:val="628F5A13"/>
    <w:rsid w:val="64AD03BA"/>
    <w:rsid w:val="68550B65"/>
    <w:rsid w:val="6C6C44D7"/>
    <w:rsid w:val="6E384164"/>
    <w:rsid w:val="6FF50CE6"/>
    <w:rsid w:val="70DA60AB"/>
    <w:rsid w:val="75BE41ED"/>
    <w:rsid w:val="75F53952"/>
    <w:rsid w:val="7E0D3F64"/>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2"/>
    <w:qFormat/>
    <w:uiPriority w:val="99"/>
    <w:pPr>
      <w:keepNext/>
      <w:keepLines/>
      <w:numPr>
        <w:ilvl w:val="0"/>
        <w:numId w:val="1"/>
      </w:numPr>
      <w:spacing w:before="340" w:after="330" w:line="578" w:lineRule="auto"/>
      <w:outlineLvl w:val="0"/>
    </w:pPr>
    <w:rPr>
      <w:rFonts w:eastAsia="黑体"/>
      <w:b/>
      <w:bCs/>
      <w:kern w:val="44"/>
      <w:sz w:val="44"/>
      <w:szCs w:val="44"/>
    </w:rPr>
  </w:style>
  <w:style w:type="paragraph" w:styleId="3">
    <w:name w:val="heading 2"/>
    <w:basedOn w:val="1"/>
    <w:next w:val="4"/>
    <w:link w:val="62"/>
    <w:qFormat/>
    <w:uiPriority w:val="99"/>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4"/>
    <w:link w:val="68"/>
    <w:qFormat/>
    <w:uiPriority w:val="99"/>
    <w:pPr>
      <w:keepNext/>
      <w:keepLines/>
      <w:numPr>
        <w:ilvl w:val="2"/>
        <w:numId w:val="1"/>
      </w:numPr>
      <w:spacing w:before="260" w:after="260" w:line="416" w:lineRule="auto"/>
      <w:outlineLvl w:val="2"/>
    </w:pPr>
    <w:rPr>
      <w:rFonts w:eastAsia="黑体"/>
      <w:b/>
      <w:bCs/>
      <w:sz w:val="32"/>
      <w:szCs w:val="32"/>
    </w:rPr>
  </w:style>
  <w:style w:type="paragraph" w:styleId="7">
    <w:name w:val="heading 4"/>
    <w:basedOn w:val="1"/>
    <w:next w:val="4"/>
    <w:link w:val="63"/>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4"/>
    <w:link w:val="78"/>
    <w:qFormat/>
    <w:uiPriority w:val="0"/>
    <w:pPr>
      <w:keepNext/>
      <w:keepLines/>
      <w:numPr>
        <w:ilvl w:val="4"/>
        <w:numId w:val="1"/>
      </w:numPr>
      <w:spacing w:before="280" w:after="290" w:line="376" w:lineRule="auto"/>
      <w:outlineLvl w:val="4"/>
    </w:pPr>
    <w:rPr>
      <w:rFonts w:eastAsia="黑体"/>
      <w:b/>
      <w:bCs/>
      <w:sz w:val="24"/>
      <w:szCs w:val="28"/>
    </w:rPr>
  </w:style>
  <w:style w:type="paragraph" w:styleId="9">
    <w:name w:val="heading 6"/>
    <w:basedOn w:val="1"/>
    <w:next w:val="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qFormat/>
    <w:uiPriority w:val="9"/>
    <w:pPr>
      <w:keepNext/>
      <w:keepLines/>
      <w:spacing w:before="240" w:after="64" w:line="320" w:lineRule="auto"/>
      <w:outlineLvl w:val="6"/>
    </w:pPr>
    <w:rPr>
      <w:b/>
      <w:bCs/>
      <w:sz w:val="24"/>
    </w:rPr>
  </w:style>
  <w:style w:type="paragraph" w:styleId="11">
    <w:name w:val="heading 8"/>
    <w:basedOn w:val="10"/>
    <w:next w:val="1"/>
    <w:link w:val="79"/>
    <w:unhideWhenUsed/>
    <w:qFormat/>
    <w:uiPriority w:val="9"/>
    <w:pPr>
      <w:keepNext w:val="0"/>
      <w:keepLines w:val="0"/>
      <w:wordWrap w:val="0"/>
      <w:spacing w:before="0" w:after="0" w:line="360" w:lineRule="auto"/>
      <w:outlineLvl w:val="7"/>
    </w:pPr>
    <w:rPr>
      <w:rFonts w:ascii="Times New Roman" w:hAnsi="Times New Roman"/>
      <w:sz w:val="28"/>
    </w:rPr>
  </w:style>
  <w:style w:type="paragraph" w:styleId="12">
    <w:name w:val="heading 9"/>
    <w:basedOn w:val="1"/>
    <w:next w:val="1"/>
    <w:qFormat/>
    <w:uiPriority w:val="9"/>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4">
    <w:name w:val="标准正文样式"/>
    <w:basedOn w:val="5"/>
    <w:link w:val="40"/>
    <w:qFormat/>
    <w:uiPriority w:val="0"/>
    <w:pPr>
      <w:spacing w:line="300" w:lineRule="auto"/>
      <w:ind w:firstLine="200"/>
    </w:pPr>
  </w:style>
  <w:style w:type="paragraph" w:customStyle="1" w:styleId="5">
    <w:name w:val="样式 样式 正文首行缩进 2 + 首行缩进:  2 字符 + 首行缩进:  2 字符"/>
    <w:basedOn w:val="1"/>
    <w:link w:val="41"/>
    <w:qFormat/>
    <w:uiPriority w:val="0"/>
    <w:pPr>
      <w:spacing w:line="360" w:lineRule="auto"/>
      <w:ind w:firstLine="480" w:firstLineChars="200"/>
    </w:pPr>
    <w:rPr>
      <w:sz w:val="24"/>
      <w:szCs w:val="20"/>
    </w:rPr>
  </w:style>
  <w:style w:type="paragraph" w:styleId="13">
    <w:name w:val="toc 7"/>
    <w:basedOn w:val="1"/>
    <w:next w:val="1"/>
    <w:qFormat/>
    <w:uiPriority w:val="39"/>
    <w:pPr>
      <w:ind w:left="1260"/>
      <w:jc w:val="left"/>
    </w:pPr>
    <w:rPr>
      <w:sz w:val="18"/>
      <w:szCs w:val="21"/>
    </w:rPr>
  </w:style>
  <w:style w:type="paragraph" w:styleId="14">
    <w:name w:val="Normal Indent"/>
    <w:basedOn w:val="1"/>
    <w:next w:val="1"/>
    <w:link w:val="65"/>
    <w:qFormat/>
    <w:uiPriority w:val="0"/>
    <w:pPr>
      <w:ind w:firstLine="420" w:firstLineChars="200"/>
    </w:pPr>
  </w:style>
  <w:style w:type="paragraph" w:styleId="15">
    <w:name w:val="caption"/>
    <w:basedOn w:val="1"/>
    <w:next w:val="1"/>
    <w:link w:val="64"/>
    <w:qFormat/>
    <w:uiPriority w:val="0"/>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semiHidden/>
    <w:unhideWhenUsed/>
    <w:qFormat/>
    <w:uiPriority w:val="0"/>
    <w:pPr>
      <w:jc w:val="left"/>
    </w:pPr>
  </w:style>
  <w:style w:type="paragraph" w:styleId="18">
    <w:name w:val="Body Text"/>
    <w:basedOn w:val="1"/>
    <w:qFormat/>
    <w:uiPriority w:val="0"/>
    <w:pPr>
      <w:spacing w:after="120"/>
    </w:pPr>
  </w:style>
  <w:style w:type="paragraph" w:styleId="19">
    <w:name w:val="Body Text Indent"/>
    <w:basedOn w:val="1"/>
    <w:qFormat/>
    <w:uiPriority w:val="0"/>
    <w:pPr>
      <w:spacing w:after="120"/>
      <w:ind w:left="420" w:leftChars="200"/>
    </w:pPr>
  </w:style>
  <w:style w:type="paragraph" w:styleId="20">
    <w:name w:val="toc 5"/>
    <w:basedOn w:val="1"/>
    <w:next w:val="1"/>
    <w:qFormat/>
    <w:uiPriority w:val="39"/>
    <w:pPr>
      <w:ind w:left="840"/>
      <w:jc w:val="left"/>
    </w:pPr>
    <w:rPr>
      <w:sz w:val="18"/>
      <w:szCs w:val="21"/>
    </w:rPr>
  </w:style>
  <w:style w:type="paragraph" w:styleId="21">
    <w:name w:val="toc 3"/>
    <w:basedOn w:val="1"/>
    <w:next w:val="1"/>
    <w:qFormat/>
    <w:uiPriority w:val="39"/>
    <w:pPr>
      <w:ind w:left="420"/>
      <w:jc w:val="left"/>
    </w:pPr>
    <w:rPr>
      <w:i/>
      <w:iCs/>
      <w:sz w:val="20"/>
    </w:rPr>
  </w:style>
  <w:style w:type="paragraph" w:styleId="22">
    <w:name w:val="toc 8"/>
    <w:basedOn w:val="1"/>
    <w:next w:val="1"/>
    <w:qFormat/>
    <w:uiPriority w:val="39"/>
    <w:pPr>
      <w:ind w:left="1470"/>
      <w:jc w:val="left"/>
    </w:pPr>
    <w:rPr>
      <w:sz w:val="18"/>
      <w:szCs w:val="21"/>
    </w:rPr>
  </w:style>
  <w:style w:type="paragraph" w:styleId="23">
    <w:name w:val="Balloon Text"/>
    <w:basedOn w:val="1"/>
    <w:link w:val="80"/>
    <w:qFormat/>
    <w:uiPriority w:val="0"/>
    <w:rPr>
      <w:sz w:val="18"/>
      <w:szCs w:val="18"/>
    </w:rPr>
  </w:style>
  <w:style w:type="paragraph" w:styleId="24">
    <w:name w:val="footer"/>
    <w:basedOn w:val="1"/>
    <w:link w:val="76"/>
    <w:qFormat/>
    <w:uiPriority w:val="99"/>
    <w:pPr>
      <w:tabs>
        <w:tab w:val="center" w:pos="4153"/>
        <w:tab w:val="right" w:pos="8306"/>
      </w:tabs>
      <w:snapToGrid w:val="0"/>
      <w:jc w:val="left"/>
    </w:pPr>
    <w:rPr>
      <w:sz w:val="18"/>
      <w:szCs w:val="18"/>
    </w:rPr>
  </w:style>
  <w:style w:type="paragraph" w:styleId="25">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b/>
      <w:bCs/>
      <w:caps/>
      <w:sz w:val="20"/>
    </w:rPr>
  </w:style>
  <w:style w:type="paragraph" w:styleId="27">
    <w:name w:val="toc 4"/>
    <w:basedOn w:val="1"/>
    <w:next w:val="1"/>
    <w:qFormat/>
    <w:uiPriority w:val="39"/>
    <w:pPr>
      <w:ind w:left="630"/>
      <w:jc w:val="left"/>
    </w:pPr>
    <w:rPr>
      <w:sz w:val="18"/>
      <w:szCs w:val="21"/>
    </w:rPr>
  </w:style>
  <w:style w:type="paragraph" w:styleId="28">
    <w:name w:val="toc 6"/>
    <w:basedOn w:val="1"/>
    <w:next w:val="1"/>
    <w:qFormat/>
    <w:uiPriority w:val="39"/>
    <w:pPr>
      <w:ind w:left="1050"/>
      <w:jc w:val="left"/>
    </w:pPr>
    <w:rPr>
      <w:sz w:val="18"/>
      <w:szCs w:val="21"/>
    </w:rPr>
  </w:style>
  <w:style w:type="paragraph" w:styleId="29">
    <w:name w:val="Body Text Indent 3"/>
    <w:basedOn w:val="1"/>
    <w:qFormat/>
    <w:uiPriority w:val="0"/>
    <w:pPr>
      <w:spacing w:line="360" w:lineRule="auto"/>
      <w:ind w:firstLine="617" w:firstLineChars="257"/>
    </w:pPr>
    <w:rPr>
      <w:rFonts w:ascii="Times New Roman" w:hAnsi="Times New Roman"/>
      <w:sz w:val="24"/>
    </w:rPr>
  </w:style>
  <w:style w:type="paragraph" w:styleId="30">
    <w:name w:val="toc 2"/>
    <w:basedOn w:val="1"/>
    <w:next w:val="1"/>
    <w:qFormat/>
    <w:uiPriority w:val="39"/>
    <w:pPr>
      <w:ind w:left="210"/>
      <w:jc w:val="left"/>
    </w:pPr>
    <w:rPr>
      <w:smallCaps/>
      <w:sz w:val="20"/>
    </w:rPr>
  </w:style>
  <w:style w:type="paragraph" w:styleId="31">
    <w:name w:val="toc 9"/>
    <w:basedOn w:val="1"/>
    <w:next w:val="1"/>
    <w:qFormat/>
    <w:uiPriority w:val="39"/>
    <w:pPr>
      <w:ind w:left="1680"/>
      <w:jc w:val="left"/>
    </w:pPr>
    <w:rPr>
      <w:sz w:val="18"/>
      <w:szCs w:val="21"/>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Body Text First Indent"/>
    <w:basedOn w:val="18"/>
    <w:qFormat/>
    <w:uiPriority w:val="0"/>
    <w:pPr>
      <w:ind w:firstLine="420" w:firstLineChars="100"/>
    </w:pPr>
  </w:style>
  <w:style w:type="paragraph" w:styleId="34">
    <w:name w:val="Body Text First Indent 2"/>
    <w:basedOn w:val="19"/>
    <w:unhideWhenUsed/>
    <w:qFormat/>
    <w:uiPriority w:val="0"/>
    <w:pPr>
      <w:spacing w:line="360" w:lineRule="auto"/>
      <w:ind w:firstLine="420" w:firstLineChars="200"/>
    </w:pPr>
    <w:rPr>
      <w:rFonts w:ascii="Times New Roman" w:hAnsi="Times New Roman"/>
      <w:sz w:val="24"/>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qFormat/>
    <w:uiPriority w:val="99"/>
    <w:rPr>
      <w:color w:val="0000FF"/>
      <w:u w:val="single"/>
    </w:rPr>
  </w:style>
  <w:style w:type="character" w:customStyle="1" w:styleId="40">
    <w:name w:val="标准正文样式 Char"/>
    <w:basedOn w:val="41"/>
    <w:link w:val="4"/>
    <w:qFormat/>
    <w:uiPriority w:val="0"/>
    <w:rPr>
      <w:kern w:val="2"/>
      <w:sz w:val="24"/>
    </w:rPr>
  </w:style>
  <w:style w:type="character" w:customStyle="1" w:styleId="41">
    <w:name w:val="样式 样式 正文首行缩进 2 + 首行缩进:  2 字符 + 首行缩进:  2 字符 Char"/>
    <w:link w:val="5"/>
    <w:qFormat/>
    <w:uiPriority w:val="0"/>
    <w:rPr>
      <w:kern w:val="2"/>
      <w:sz w:val="24"/>
    </w:rPr>
  </w:style>
  <w:style w:type="paragraph" w:customStyle="1" w:styleId="42">
    <w:name w:val="样式 正文文本缩进 + 左  0 字符"/>
    <w:basedOn w:val="19"/>
    <w:link w:val="71"/>
    <w:qFormat/>
    <w:uiPriority w:val="0"/>
    <w:pPr>
      <w:spacing w:after="0" w:line="360" w:lineRule="auto"/>
      <w:ind w:left="0" w:leftChars="0" w:firstLine="250" w:firstLineChars="250"/>
    </w:pPr>
    <w:rPr>
      <w:rFonts w:cs="宋体"/>
      <w:sz w:val="24"/>
      <w:szCs w:val="20"/>
    </w:rPr>
  </w:style>
  <w:style w:type="paragraph" w:customStyle="1" w:styleId="43">
    <w:name w:val="默认段落字体 Para Char Char Char Char Char Char Char"/>
    <w:basedOn w:val="1"/>
    <w:qFormat/>
    <w:uiPriority w:val="0"/>
    <w:rPr>
      <w:rFonts w:ascii="Tahoma" w:hAnsi="Tahoma"/>
      <w:sz w:val="24"/>
      <w:szCs w:val="20"/>
    </w:rPr>
  </w:style>
  <w:style w:type="paragraph" w:customStyle="1" w:styleId="44">
    <w:name w:val="样式 正文缩进 + 首行缩进:  2 字符"/>
    <w:basedOn w:val="14"/>
    <w:qFormat/>
    <w:uiPriority w:val="0"/>
    <w:pPr>
      <w:spacing w:line="360" w:lineRule="auto"/>
      <w:ind w:firstLine="200"/>
    </w:pPr>
    <w:rPr>
      <w:rFonts w:cs="宋体"/>
      <w:sz w:val="24"/>
      <w:szCs w:val="20"/>
    </w:rPr>
  </w:style>
  <w:style w:type="paragraph" w:customStyle="1" w:styleId="45">
    <w:name w:val="Table Text"/>
    <w:basedOn w:val="1"/>
    <w:qFormat/>
    <w:uiPriority w:val="0"/>
    <w:pPr>
      <w:widowControl/>
      <w:spacing w:before="60" w:after="60"/>
      <w:jc w:val="left"/>
    </w:pPr>
    <w:rPr>
      <w:kern w:val="0"/>
    </w:rPr>
  </w:style>
  <w:style w:type="paragraph" w:customStyle="1" w:styleId="46">
    <w:name w:val="Style Normal Indent + First line:  2 ch"/>
    <w:basedOn w:val="14"/>
    <w:qFormat/>
    <w:uiPriority w:val="0"/>
    <w:pPr>
      <w:spacing w:line="360" w:lineRule="auto"/>
      <w:ind w:firstLine="200"/>
    </w:pPr>
    <w:rPr>
      <w:rFonts w:cs="宋体"/>
      <w:sz w:val="24"/>
      <w:szCs w:val="20"/>
    </w:rPr>
  </w:style>
  <w:style w:type="paragraph" w:customStyle="1" w:styleId="47">
    <w:name w:val="Appendix - Header"/>
    <w:basedOn w:val="1"/>
    <w:qFormat/>
    <w:uiPriority w:val="0"/>
    <w:pPr>
      <w:widowControl/>
      <w:spacing w:after="120" w:line="240" w:lineRule="atLeast"/>
    </w:pPr>
    <w:rPr>
      <w:b/>
      <w:kern w:val="0"/>
      <w:sz w:val="32"/>
      <w:szCs w:val="20"/>
      <w:u w:val="single"/>
    </w:rPr>
  </w:style>
  <w:style w:type="paragraph" w:customStyle="1" w:styleId="48">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9">
    <w:name w:val="xl29"/>
    <w:basedOn w:val="1"/>
    <w:qFormat/>
    <w:uiPriority w:val="0"/>
    <w:pPr>
      <w:widowControl/>
      <w:spacing w:before="100" w:after="100"/>
      <w:jc w:val="center"/>
      <w:textAlignment w:val="center"/>
    </w:pPr>
    <w:rPr>
      <w:rFonts w:ascii="Arial Unicode MS" w:hAnsi="Arial Unicode MS" w:eastAsia="Arial Unicode MS"/>
      <w:kern w:val="0"/>
      <w:sz w:val="24"/>
      <w:szCs w:val="20"/>
    </w:rPr>
  </w:style>
  <w:style w:type="paragraph" w:customStyle="1" w:styleId="50">
    <w:name w:val="金宏发行正文 Char"/>
    <w:basedOn w:val="1"/>
    <w:link w:val="69"/>
    <w:qFormat/>
    <w:uiPriority w:val="0"/>
    <w:pPr>
      <w:spacing w:line="500" w:lineRule="exact"/>
      <w:ind w:firstLine="560" w:firstLineChars="200"/>
    </w:pPr>
    <w:rPr>
      <w:rFonts w:ascii="仿宋_GB2312" w:eastAsia="仿宋_GB2312" w:cs="宋体"/>
      <w:sz w:val="28"/>
    </w:rPr>
  </w:style>
  <w:style w:type="paragraph" w:customStyle="1" w:styleId="51">
    <w:name w:val="段落正文"/>
    <w:basedOn w:val="1"/>
    <w:qFormat/>
    <w:uiPriority w:val="0"/>
    <w:pPr>
      <w:spacing w:before="156" w:line="360" w:lineRule="atLeast"/>
      <w:ind w:firstLine="488" w:firstLineChars="200"/>
    </w:pPr>
    <w:rPr>
      <w:spacing w:val="2"/>
      <w:sz w:val="24"/>
    </w:rPr>
  </w:style>
  <w:style w:type="paragraph" w:customStyle="1" w:styleId="52">
    <w:name w:val="样式7"/>
    <w:basedOn w:val="1"/>
    <w:qFormat/>
    <w:uiPriority w:val="0"/>
    <w:pPr>
      <w:spacing w:line="0" w:lineRule="atLeast"/>
      <w:ind w:right="-115" w:rightChars="-55" w:firstLine="420" w:firstLineChars="175"/>
    </w:pPr>
    <w:rPr>
      <w:rFonts w:ascii="楷体_GB2312" w:hAnsi="Courier New" w:eastAsia="仿宋_GB2312"/>
      <w:sz w:val="24"/>
      <w:szCs w:val="21"/>
    </w:rPr>
  </w:style>
  <w:style w:type="paragraph" w:customStyle="1" w:styleId="53">
    <w:name w:val="6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55">
    <w:name w:val="日期1"/>
    <w:basedOn w:val="1"/>
    <w:qFormat/>
    <w:uiPriority w:val="0"/>
    <w:pPr>
      <w:widowControl/>
      <w:spacing w:before="100" w:beforeAutospacing="1" w:after="100" w:afterAutospacing="1"/>
      <w:jc w:val="left"/>
    </w:pPr>
    <w:rPr>
      <w:rFonts w:ascii="宋体" w:hAnsi="宋体"/>
      <w:kern w:val="0"/>
      <w:sz w:val="24"/>
    </w:rPr>
  </w:style>
  <w:style w:type="paragraph" w:customStyle="1" w:styleId="56">
    <w:name w:val="Char Char Char"/>
    <w:basedOn w:val="1"/>
    <w:qFormat/>
    <w:uiPriority w:val="0"/>
  </w:style>
  <w:style w:type="paragraph" w:customStyle="1" w:styleId="57">
    <w:name w:val="样式 样式 正文缩进 + 首行缩进:  2 字符 + 五号 居中"/>
    <w:basedOn w:val="44"/>
    <w:qFormat/>
    <w:uiPriority w:val="0"/>
    <w:pPr>
      <w:spacing w:line="240" w:lineRule="auto"/>
      <w:ind w:firstLine="0" w:firstLineChars="0"/>
      <w:jc w:val="center"/>
    </w:pPr>
    <w:rPr>
      <w:sz w:val="21"/>
      <w:szCs w:val="24"/>
    </w:rPr>
  </w:style>
  <w:style w:type="paragraph" w:customStyle="1" w:styleId="58">
    <w:name w:val="样式 样式 正文缩进 + 首行缩进:  2 字符 + 五号"/>
    <w:basedOn w:val="44"/>
    <w:qFormat/>
    <w:uiPriority w:val="0"/>
    <w:pPr>
      <w:spacing w:line="240" w:lineRule="auto"/>
      <w:ind w:firstLine="0" w:firstLineChars="0"/>
    </w:pPr>
    <w:rPr>
      <w:sz w:val="21"/>
    </w:rPr>
  </w:style>
  <w:style w:type="paragraph" w:customStyle="1" w:styleId="59">
    <w:name w:val="表格"/>
    <w:basedOn w:val="1"/>
    <w:qFormat/>
    <w:uiPriority w:val="0"/>
    <w:pPr>
      <w:framePr w:hSpace="180" w:wrap="around" w:vAnchor="text" w:hAnchor="margin" w:xAlign="right" w:y="183"/>
      <w:widowControl/>
    </w:pPr>
    <w:rPr>
      <w:kern w:val="0"/>
      <w:sz w:val="18"/>
      <w:szCs w:val="18"/>
    </w:rPr>
  </w:style>
  <w:style w:type="paragraph" w:styleId="60">
    <w:name w:val="No Spacing"/>
    <w:link w:val="74"/>
    <w:qFormat/>
    <w:uiPriority w:val="1"/>
    <w:rPr>
      <w:rFonts w:ascii="Calibri" w:hAnsi="Calibri" w:eastAsia="宋体" w:cs="Times New Roman"/>
      <w:sz w:val="22"/>
      <w:szCs w:val="22"/>
      <w:lang w:val="en-US" w:eastAsia="zh-CN" w:bidi="ar-SA"/>
    </w:rPr>
  </w:style>
  <w:style w:type="paragraph" w:styleId="61">
    <w:name w:val="List Paragraph"/>
    <w:basedOn w:val="1"/>
    <w:link w:val="77"/>
    <w:qFormat/>
    <w:uiPriority w:val="34"/>
    <w:pPr>
      <w:ind w:firstLine="420" w:firstLineChars="200"/>
    </w:pPr>
  </w:style>
  <w:style w:type="character" w:customStyle="1" w:styleId="62">
    <w:name w:val="标题 2 字符"/>
    <w:link w:val="3"/>
    <w:qFormat/>
    <w:uiPriority w:val="99"/>
    <w:rPr>
      <w:rFonts w:ascii="Arial" w:hAnsi="Arial" w:eastAsia="黑体"/>
      <w:b/>
      <w:bCs/>
      <w:kern w:val="2"/>
      <w:sz w:val="32"/>
      <w:szCs w:val="32"/>
    </w:rPr>
  </w:style>
  <w:style w:type="character" w:customStyle="1" w:styleId="63">
    <w:name w:val="标题 4 字符"/>
    <w:link w:val="7"/>
    <w:qFormat/>
    <w:uiPriority w:val="0"/>
    <w:rPr>
      <w:rFonts w:ascii="Arial" w:hAnsi="Arial" w:eastAsia="黑体"/>
      <w:b/>
      <w:bCs/>
      <w:kern w:val="2"/>
      <w:sz w:val="28"/>
      <w:szCs w:val="28"/>
    </w:rPr>
  </w:style>
  <w:style w:type="character" w:customStyle="1" w:styleId="64">
    <w:name w:val="题注 字符"/>
    <w:link w:val="15"/>
    <w:qFormat/>
    <w:uiPriority w:val="0"/>
    <w:rPr>
      <w:rFonts w:ascii="Arial" w:hAnsi="Arial" w:eastAsia="黑体" w:cs="Arial"/>
      <w:kern w:val="2"/>
      <w:lang w:val="en-US" w:eastAsia="zh-CN" w:bidi="ar-SA"/>
    </w:rPr>
  </w:style>
  <w:style w:type="character" w:customStyle="1" w:styleId="65">
    <w:name w:val="正文缩进 字符"/>
    <w:link w:val="14"/>
    <w:qFormat/>
    <w:uiPriority w:val="0"/>
    <w:rPr>
      <w:rFonts w:eastAsia="宋体"/>
      <w:kern w:val="2"/>
      <w:sz w:val="21"/>
      <w:szCs w:val="24"/>
      <w:lang w:val="en-US" w:eastAsia="zh-CN" w:bidi="ar-SA"/>
    </w:rPr>
  </w:style>
  <w:style w:type="character" w:customStyle="1" w:styleId="66">
    <w:name w:val="Char Char29"/>
    <w:qFormat/>
    <w:uiPriority w:val="0"/>
    <w:rPr>
      <w:rFonts w:ascii="Arial" w:hAnsi="Arial" w:eastAsia="黑体"/>
      <w:b/>
      <w:bCs/>
      <w:kern w:val="2"/>
      <w:sz w:val="32"/>
      <w:szCs w:val="32"/>
      <w:lang w:val="en-US" w:eastAsia="zh-CN" w:bidi="ar-SA"/>
    </w:rPr>
  </w:style>
  <w:style w:type="character" w:customStyle="1" w:styleId="67">
    <w:name w:val="Char Char1"/>
    <w:qFormat/>
    <w:uiPriority w:val="0"/>
    <w:rPr>
      <w:rFonts w:ascii="Arial" w:hAnsi="Arial" w:eastAsia="黑体"/>
      <w:b/>
      <w:bCs/>
      <w:kern w:val="2"/>
      <w:sz w:val="28"/>
      <w:szCs w:val="28"/>
      <w:lang w:val="en-US" w:eastAsia="zh-CN" w:bidi="ar-SA"/>
    </w:rPr>
  </w:style>
  <w:style w:type="character" w:customStyle="1" w:styleId="68">
    <w:name w:val="标题 3 字符"/>
    <w:link w:val="6"/>
    <w:qFormat/>
    <w:uiPriority w:val="99"/>
    <w:rPr>
      <w:rFonts w:eastAsia="黑体"/>
      <w:b/>
      <w:bCs/>
      <w:kern w:val="2"/>
      <w:sz w:val="32"/>
      <w:szCs w:val="32"/>
    </w:rPr>
  </w:style>
  <w:style w:type="character" w:customStyle="1" w:styleId="69">
    <w:name w:val="金宏发行正文 Char Char"/>
    <w:link w:val="50"/>
    <w:qFormat/>
    <w:locked/>
    <w:uiPriority w:val="0"/>
    <w:rPr>
      <w:rFonts w:ascii="仿宋_GB2312" w:eastAsia="仿宋_GB2312" w:cs="宋体"/>
      <w:kern w:val="2"/>
      <w:sz w:val="28"/>
      <w:szCs w:val="24"/>
      <w:lang w:val="en-US" w:eastAsia="zh-CN" w:bidi="ar-SA"/>
    </w:rPr>
  </w:style>
  <w:style w:type="character" w:customStyle="1" w:styleId="70">
    <w:name w:val="Char Char28"/>
    <w:qFormat/>
    <w:uiPriority w:val="0"/>
    <w:rPr>
      <w:rFonts w:eastAsia="宋体"/>
      <w:b/>
      <w:bCs/>
      <w:kern w:val="2"/>
      <w:sz w:val="32"/>
      <w:szCs w:val="32"/>
      <w:lang w:val="en-US" w:eastAsia="zh-CN" w:bidi="ar-SA"/>
    </w:rPr>
  </w:style>
  <w:style w:type="character" w:customStyle="1" w:styleId="71">
    <w:name w:val="样式 正文文本缩进 + 左  0 字符 Char"/>
    <w:link w:val="42"/>
    <w:qFormat/>
    <w:uiPriority w:val="0"/>
    <w:rPr>
      <w:rFonts w:eastAsia="宋体" w:cs="宋体"/>
      <w:kern w:val="2"/>
      <w:sz w:val="24"/>
      <w:lang w:val="en-US" w:eastAsia="zh-CN" w:bidi="ar-SA"/>
    </w:rPr>
  </w:style>
  <w:style w:type="character" w:customStyle="1" w:styleId="72">
    <w:name w:val="标题 1 字符"/>
    <w:link w:val="2"/>
    <w:qFormat/>
    <w:uiPriority w:val="99"/>
    <w:rPr>
      <w:rFonts w:eastAsia="黑体"/>
      <w:b/>
      <w:bCs/>
      <w:kern w:val="44"/>
      <w:sz w:val="44"/>
      <w:szCs w:val="44"/>
    </w:rPr>
  </w:style>
  <w:style w:type="character" w:customStyle="1" w:styleId="73">
    <w:name w:val="页眉 字符1"/>
    <w:link w:val="25"/>
    <w:qFormat/>
    <w:uiPriority w:val="0"/>
    <w:rPr>
      <w:kern w:val="2"/>
      <w:sz w:val="18"/>
      <w:szCs w:val="18"/>
    </w:rPr>
  </w:style>
  <w:style w:type="character" w:customStyle="1" w:styleId="74">
    <w:name w:val="无间隔 字符"/>
    <w:link w:val="60"/>
    <w:qFormat/>
    <w:uiPriority w:val="1"/>
    <w:rPr>
      <w:rFonts w:ascii="Calibri" w:hAnsi="Calibri"/>
      <w:sz w:val="22"/>
      <w:szCs w:val="22"/>
    </w:rPr>
  </w:style>
  <w:style w:type="character" w:customStyle="1" w:styleId="75">
    <w:name w:val="页眉 字符"/>
    <w:qFormat/>
    <w:uiPriority w:val="99"/>
    <w:rPr>
      <w:rFonts w:ascii="Calibri" w:hAnsi="Calibri" w:eastAsia="宋体" w:cs="Times New Roman"/>
      <w:kern w:val="2"/>
      <w:sz w:val="18"/>
      <w:szCs w:val="18"/>
    </w:rPr>
  </w:style>
  <w:style w:type="character" w:customStyle="1" w:styleId="76">
    <w:name w:val="页脚 字符"/>
    <w:link w:val="24"/>
    <w:qFormat/>
    <w:uiPriority w:val="99"/>
    <w:rPr>
      <w:kern w:val="2"/>
      <w:sz w:val="18"/>
      <w:szCs w:val="18"/>
    </w:rPr>
  </w:style>
  <w:style w:type="character" w:customStyle="1" w:styleId="77">
    <w:name w:val="列表段落 字符"/>
    <w:link w:val="61"/>
    <w:qFormat/>
    <w:uiPriority w:val="34"/>
    <w:rPr>
      <w:rFonts w:ascii="Calibri" w:hAnsi="Calibri"/>
      <w:kern w:val="2"/>
      <w:sz w:val="21"/>
      <w:szCs w:val="24"/>
    </w:rPr>
  </w:style>
  <w:style w:type="character" w:customStyle="1" w:styleId="78">
    <w:name w:val="标题 5 字符"/>
    <w:basedOn w:val="37"/>
    <w:link w:val="8"/>
    <w:qFormat/>
    <w:uiPriority w:val="0"/>
    <w:rPr>
      <w:rFonts w:eastAsia="黑体"/>
      <w:b/>
      <w:bCs/>
      <w:kern w:val="2"/>
      <w:sz w:val="24"/>
      <w:szCs w:val="28"/>
    </w:rPr>
  </w:style>
  <w:style w:type="character" w:customStyle="1" w:styleId="79">
    <w:name w:val="标题 8 字符"/>
    <w:basedOn w:val="37"/>
    <w:link w:val="11"/>
    <w:qFormat/>
    <w:uiPriority w:val="9"/>
    <w:rPr>
      <w:rFonts w:ascii="Times New Roman" w:hAnsi="Times New Roman"/>
      <w:b/>
      <w:bCs/>
      <w:kern w:val="2"/>
      <w:sz w:val="28"/>
      <w:szCs w:val="24"/>
    </w:rPr>
  </w:style>
  <w:style w:type="character" w:customStyle="1" w:styleId="80">
    <w:name w:val="批注框文本 字符"/>
    <w:basedOn w:val="37"/>
    <w:link w:val="2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5341-F501-4FF9-91BC-A4AEAD5E2C5D}">
  <ds:schemaRefs/>
</ds:datastoreItem>
</file>

<file path=docProps/app.xml><?xml version="1.0" encoding="utf-8"?>
<Properties xmlns="http://schemas.openxmlformats.org/officeDocument/2006/extended-properties" xmlns:vt="http://schemas.openxmlformats.org/officeDocument/2006/docPropsVTypes">
  <Template>Normal.dotm</Template>
  <Company>湖北信安</Company>
  <Pages>22</Pages>
  <Words>4330</Words>
  <Characters>4476</Characters>
  <Lines>288</Lines>
  <Paragraphs>307</Paragraphs>
  <TotalTime>20</TotalTime>
  <ScaleCrop>false</ScaleCrop>
  <LinksUpToDate>false</LinksUpToDate>
  <CharactersWithSpaces>4963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2025-10-10T03:11:00Z</dcterms:created>
  <dc:creator>闫元康</dc:creator>
  <cp:lastModifiedBy>雁痕</cp:lastModifiedBy>
  <dcterms:modified xsi:type="dcterms:W3CDTF">2025-10-13T13:00:38Z</dcterms:modified>
  <dc:subject>初步设计编写指南</dc:subject>
  <dc:title>初步设计模板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eyJoZGlkIjoiNzE1NmMyYjY3YWQ1OWJjODgxZDBhMjAyNzkwNDRmMjgiLCJ1c2VySWQiOiIzNTczNzUxNTMifQ==</vt:lpwstr>
  </property>
  <property fmtid="{D5CDD505-2E9C-101B-9397-08002B2CF9AE}" pid="4" name="ICV">
    <vt:lpwstr>5BFB7F8EE5DD4356846EBC6208ED6FD5_13</vt:lpwstr>
  </property>
</Properties>
</file>